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MS UI Gothic"/>
          <w:b/>
          <w:sz w:val="20"/>
        </w:rPr>
      </w:pPr>
    </w:p>
    <w:p>
      <w:pPr>
        <w:pStyle w:val="4"/>
        <w:rPr>
          <w:rFonts w:ascii="MS UI Gothic"/>
          <w:b/>
          <w:sz w:val="20"/>
        </w:rPr>
      </w:pPr>
      <w:r>
        <mc:AlternateContent>
          <mc:Choice Requires="wps">
            <w:drawing>
              <wp:anchor distT="0" distB="0" distL="114300" distR="114300" simplePos="0" relativeHeight="251659264" behindDoc="0" locked="0" layoutInCell="1" allowOverlap="1">
                <wp:simplePos x="0" y="0"/>
                <wp:positionH relativeFrom="page">
                  <wp:posOffset>933450</wp:posOffset>
                </wp:positionH>
                <wp:positionV relativeFrom="page">
                  <wp:posOffset>1661160</wp:posOffset>
                </wp:positionV>
                <wp:extent cx="5993765" cy="17780"/>
                <wp:effectExtent l="0" t="4445" r="6985" b="6350"/>
                <wp:wrapNone/>
                <wp:docPr id="2" name="直线 2"/>
                <wp:cNvGraphicFramePr/>
                <a:graphic xmlns:a="http://schemas.openxmlformats.org/drawingml/2006/main">
                  <a:graphicData uri="http://schemas.microsoft.com/office/word/2010/wordprocessingShape">
                    <wps:wsp>
                      <wps:cNvCnPr/>
                      <wps:spPr>
                        <a:xfrm flipV="1">
                          <a:off x="0" y="0"/>
                          <a:ext cx="5993765" cy="177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73.5pt;margin-top:130.8pt;height:1.4pt;width:471.95pt;mso-position-horizontal-relative:page;mso-position-vertical-relative:page;z-index:251659264;mso-width-relative:page;mso-height-relative:page;" filled="f" stroked="t" coordsize="21600,21600" o:gfxdata="UEsDBAoAAAAAAIdO4kAAAAAAAAAAAAAAAAAEAAAAZHJzL1BLAwQUAAAACACHTuJAUJDBXtgAAAAM&#10;AQAADwAAAGRycy9kb3ducmV2LnhtbE2PQU+EMBCF7yb+h2ZMvLktSFCQsjFGvZiYuLJ7LnQEYjsl&#10;tMuu/95y0uN78/Lme9X2bA1bcPajIwnJRgBD6pweqZfQfL7c3APzQZFWxhFK+EEP2/ryolKldif6&#10;wGUXehZLyJdKwhDCVHLuuwGt8hs3IcXbl5utClHOPdezOsVya3gqRM6tGil+GNSETwN237ujlfB4&#10;eHu+fV9a64wu+mavbSNeUymvrxLxACzgOfyFYcWP6FBHptYdSXtmos7u4pYgIc2THNiaEIUogLWr&#10;lWXA64r/H1H/AlBLAwQUAAAACACHTuJALorG4PUBAADpAwAADgAAAGRycy9lMm9Eb2MueG1srVNL&#10;jhMxEN0jcQfLe9JJUCaTVjqzmDBsEIzEZ1+x3d2W/JPLSSdn4Rqs2HCcuQZldwgwbLKgF62yq/yq&#10;3vPz+u5oDTuoiNq7hs8mU86UE15q1zX886eHV7ecYQInwXinGn5SyO82L1+sh1Crue+9kSoyAnFY&#10;D6HhfUqhrioUvbKAEx+Uo2Tro4VEy9hVMsJA6NZU8+n0php8lCF6oRBpdzsm+RkxXgPo21YLtfVi&#10;b5VLI2pUBhJRwl4H5JsybdsqkT60LarETMOJaSp/akLxLv+rzRrqLkLotTiPANeM8IyTBe2o6QVq&#10;CwnYPup/oKwW0aNv00R4W41EiiLEYjZ9ps3HHoIqXEhqDBfR8f/BiveHx8i0bPicMweWLvzp67en&#10;7z/YPGszBKyp5N49xvMKw2PMRI9ttKw1OnwhExXqRIYdi7Kni7LqmJigzcVq9Xp5s+BMUG62XN4W&#10;5asRJsOFiOmt8pbloOFGu0wcaji8w0StqfRXSd42jg0NXy3mGRLIhS3dPoU2EBN0XTmL3mj5oI3J&#10;JzB2u3sT2QGyE8qXCRLuX2W5yRawH+tKavRIr0C+cZKlUyCNHD0NnkewSnJmFL2kHBEg1Am0uaaS&#10;WhtHE2SNR1VztPPyRDeyD1F3PSkxK1PmDDmgzHt2a7bYn+uC9PuFbn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JDBXtgAAAAMAQAADwAAAAAAAAABACAAAAAiAAAAZHJzL2Rvd25yZXYueG1sUEsB&#10;AhQAFAAAAAgAh07iQC6KxuD1AQAA6QMAAA4AAAAAAAAAAQAgAAAAJwEAAGRycy9lMm9Eb2MueG1s&#10;UEsFBgAAAAAGAAYAWQEAAI4FAAAAAA==&#10;">
                <v:fill on="f" focussize="0,0"/>
                <v:stroke color="#000000" joinstyle="round"/>
                <v:imagedata o:title=""/>
                <o:lock v:ext="edit" aspectratio="f"/>
              </v:line>
            </w:pict>
          </mc:Fallback>
        </mc:AlternateContent>
      </w:r>
    </w:p>
    <w:p>
      <w:pPr>
        <w:pStyle w:val="4"/>
        <w:rPr>
          <w:rFonts w:ascii="MS UI Gothic"/>
          <w:b/>
          <w:sz w:val="20"/>
        </w:rPr>
      </w:pPr>
    </w:p>
    <w:p>
      <w:pPr>
        <w:spacing w:before="1"/>
        <w:ind w:left="403" w:right="0" w:firstLine="0"/>
        <w:jc w:val="left"/>
        <w:rPr>
          <w:rFonts w:hint="eastAsia" w:ascii="宋体" w:hAnsi="宋体" w:eastAsia="宋体" w:cs="宋体"/>
          <w:sz w:val="21"/>
        </w:rPr>
      </w:pPr>
    </w:p>
    <w:p>
      <w:pPr>
        <w:spacing w:line="400" w:lineRule="exact"/>
        <w:jc w:val="center"/>
        <w:rPr>
          <w:rFonts w:hint="eastAsia" w:ascii="微软雅黑" w:hAnsi="微软雅黑" w:eastAsia="微软雅黑" w:cs="微软雅黑"/>
          <w:b/>
          <w:bCs/>
          <w:sz w:val="30"/>
          <w:szCs w:val="30"/>
          <w:lang w:val="en-US" w:eastAsia="zh-CN"/>
        </w:rPr>
      </w:pPr>
      <w:r>
        <w:rPr>
          <w:rFonts w:hint="eastAsia" w:ascii="微软雅黑" w:hAnsi="微软雅黑" w:eastAsia="微软雅黑"/>
          <w:b/>
          <w:sz w:val="30"/>
          <w:szCs w:val="30"/>
        </w:rPr>
        <w:t>游离血红蛋白检测试剂盒(邻联甲苯胺比色法)</w:t>
      </w:r>
      <w:r>
        <w:rPr>
          <w:rFonts w:hint="eastAsia" w:ascii="微软雅黑" w:hAnsi="微软雅黑" w:eastAsia="微软雅黑" w:cs="微软雅黑"/>
          <w:b/>
          <w:bCs/>
          <w:sz w:val="30"/>
          <w:szCs w:val="30"/>
          <w:lang w:val="en-US" w:eastAsia="zh-CN"/>
        </w:rPr>
        <w:t>说明书</w:t>
      </w:r>
    </w:p>
    <w:p>
      <w:pPr>
        <w:jc w:val="both"/>
        <w:rPr>
          <w:rFonts w:hint="eastAsia" w:ascii="微软雅黑" w:hAnsi="微软雅黑" w:eastAsia="微软雅黑" w:cs="微软雅黑"/>
          <w:b/>
          <w:bCs/>
          <w:sz w:val="24"/>
          <w:szCs w:val="24"/>
          <w:lang w:val="en-US" w:eastAsia="zh-CN"/>
        </w:rPr>
      </w:pPr>
    </w:p>
    <w:p>
      <w:pPr>
        <w:pStyle w:val="4"/>
        <w:spacing w:before="204"/>
        <w:ind w:left="100"/>
        <w:rPr>
          <w:rFonts w:hint="eastAsia" w:ascii="宋体" w:hAnsi="宋体" w:eastAsia="宋体" w:cs="宋体"/>
          <w:sz w:val="24"/>
          <w:szCs w:val="24"/>
          <w:lang w:val="en-US" w:eastAsia="zh-CN" w:bidi="zh-CN"/>
        </w:rPr>
      </w:pPr>
      <w:r>
        <w:rPr>
          <w:rFonts w:hint="eastAsia" w:ascii="微软雅黑" w:hAnsi="微软雅黑" w:eastAsia="微软雅黑" w:cs="微软雅黑"/>
          <w:b/>
          <w:bCs/>
          <w:sz w:val="24"/>
          <w:szCs w:val="24"/>
          <w:lang w:val="en-US" w:eastAsia="zh-CN" w:bidi="zh-CN"/>
        </w:rPr>
        <w:t>产品简介：</w:t>
      </w: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血红蛋白(Hemoglobin，Hb 或 HGB)是高等生物体内负责运载氧的一种蛋白质，是能使血液呈红色的蛋白。血红蛋白由四条链组成，两条 α链和两条β链，每一条链有一个包含一个铁原子的环状血红素，Hb 在氧含量高的区域容易与氧结合，在氧含量低的区域又容易与氧分离，血红蛋白的这一特性，使红细胞具有运输氧的功能，血管溶血时，血浆游离血红蛋白(free hemoglobin)浓度增高。</w:t>
      </w: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游 离 血 红 蛋 白 检 测 试 剂 盒 ( 邻 联 甲 苯 胺 比 色 法 )(Free Hemoglobin Colorimetric Assay Kit)检测原理是血红蛋白中亚铁血红素有类似过氧化物酶的作用，可在氧化剂的作用下催化邻联甲苯胺(O-tolidine)产生青色或蓝色产物，吸收峰在 630nm；在酸性条件下产物呈黄色，吸收峰在 435nm，产物黄色越深，说明 FHB 含量越高，反之越低。通过分光光度比色法测定 435nm 处吸光度，就可计算出血浆游离血红蛋白含量。该试剂盒主要用于血浆样本，亦可用于测定细胞或组织的裂解液或匀浆液等样品中游离血红蛋白含量。该试剂盒仅用于科研领域，不宜用于临床诊断或其他用途。</w:t>
      </w:r>
    </w:p>
    <w:p>
      <w:pPr>
        <w:ind w:firstLine="480" w:firstLineChars="200"/>
        <w:jc w:val="both"/>
        <w:rPr>
          <w:rFonts w:hint="eastAsia" w:ascii="宋体" w:hAnsi="宋体" w:eastAsia="宋体" w:cs="宋体"/>
          <w:sz w:val="24"/>
          <w:szCs w:val="24"/>
        </w:rPr>
      </w:pPr>
    </w:p>
    <w:p>
      <w:pPr>
        <w:jc w:val="both"/>
        <w:rPr>
          <w:rFonts w:hint="eastAsia" w:ascii="微软雅黑" w:hAnsi="微软雅黑" w:eastAsia="微软雅黑" w:cs="微软雅黑"/>
          <w:b/>
          <w:bCs/>
          <w:sz w:val="24"/>
          <w:szCs w:val="24"/>
          <w:lang w:val="en-US" w:eastAsia="zh-CN" w:bidi="zh-CN"/>
        </w:rPr>
      </w:pPr>
      <w:r>
        <w:rPr>
          <w:rFonts w:hint="eastAsia" w:ascii="微软雅黑" w:hAnsi="微软雅黑" w:eastAsia="微软雅黑" w:cs="微软雅黑"/>
          <w:b/>
          <w:bCs/>
          <w:sz w:val="24"/>
          <w:szCs w:val="24"/>
          <w:lang w:val="en-US" w:eastAsia="zh-CN" w:bidi="zh-CN"/>
        </w:rPr>
        <w:t>产品组成：</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4"/>
        <w:gridCol w:w="1600"/>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4" w:type="dxa"/>
          </w:tcPr>
          <w:p>
            <w:pPr>
              <w:jc w:val="center"/>
              <w:rPr>
                <w:rFonts w:hint="default" w:ascii="微软雅黑" w:hAnsi="微软雅黑" w:eastAsia="微软雅黑"/>
                <w:szCs w:val="21"/>
                <w:vertAlign w:val="baseline"/>
                <w:lang w:val="en-US" w:eastAsia="zh-CN"/>
              </w:rPr>
            </w:pPr>
            <w:r>
              <w:rPr>
                <w:rFonts w:hint="eastAsia" w:ascii="微软雅黑" w:hAnsi="微软雅黑" w:eastAsia="微软雅黑"/>
                <w:szCs w:val="21"/>
                <w:vertAlign w:val="baseline"/>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-3175</wp:posOffset>
                      </wp:positionV>
                      <wp:extent cx="2825750" cy="496570"/>
                      <wp:effectExtent l="635" t="4445" r="12065" b="13335"/>
                      <wp:wrapNone/>
                      <wp:docPr id="1" name="直接连接符 1"/>
                      <wp:cNvGraphicFramePr/>
                      <a:graphic xmlns:a="http://schemas.openxmlformats.org/drawingml/2006/main">
                        <a:graphicData uri="http://schemas.microsoft.com/office/word/2010/wordprocessingShape">
                          <wps:wsp>
                            <wps:cNvCnPr/>
                            <wps:spPr>
                              <a:xfrm>
                                <a:off x="1003935" y="4563110"/>
                                <a:ext cx="2825750" cy="4965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55pt;margin-top:-0.25pt;height:39.1pt;width:222.5pt;z-index:251660288;mso-width-relative:page;mso-height-relative:page;" filled="f" stroked="t" coordsize="21600,21600" o:gfxdata="UEsDBAoAAAAAAIdO4kAAAAAAAAAAAAAAAAAEAAAAZHJzL1BLAwQUAAAACACHTuJAM8SZWdcAAAAI&#10;AQAADwAAAGRycy9kb3ducmV2LnhtbE2PzU7DMBCE70i8g7VIXKrWdgMEQpwegNy4tIC4buMliYjX&#10;aez+wNNjTnCb1Yxmvi1XJzeIA02h92xALxQI4sbbnlsDry/1/BZEiMgWB89k4IsCrKrzsxIL64+8&#10;psMmtiKVcCjQQBfjWEgZmo4choUfiZP34SeHMZ1TK+2Ex1TuBrlU6kY67DktdDjSQ0fN52bvDIT6&#10;jXb196yZqfes9bTcPT4/oTGXF1rdg4h0in9h+MVP6FAlpq3fsw1iMDDXWqdoEtcgkn+VZXcgtgby&#10;PAdZlfL/A9UPUEsDBBQAAAAIAIdO4kCv0ehhAwIAAOQDAAAOAAAAZHJzL2Uyb0RvYy54bWytU0tu&#10;2zAQ3RfoHQjua0l25cSC5SxipJt+DLQ9AE1REgH+wGEs+xK9QIHu2lWX3ec2TY/RIaUkbbrJolqQ&#10;w+HMm3mPo/XFUStyEB6kNTUtZjklwnDbSNPV9OOHqxfnlEBgpmHKGlHTkwB6sXn+bD24Ssxtb1Uj&#10;PEEQA9XgatqH4KosA94LzWBmnTB42VqvWcCj77LGswHRtcrmeb7MBusb5y0XAOjdjpd0QvRPAbRt&#10;K7nYWn6thQkjqheKBaQEvXRAN6nbthU8vGtbEIGomiLTkFYsgvY+rtlmzarOM9dLPrXAntLCI06a&#10;SYNF76G2LDBy7eU/UFpyb8G2YcatzkYiSRFkUeSPtHnfMycSF5Qa3L3o8P9g+dvDzhPZ4CRQYpjG&#10;B7/9/OPnp6+/br7gevv9GymiSIODCmMvzc5PJ3A7HxkfW6/jjlzIEWHyfLFalJScavqyXC6KYhJZ&#10;HAPhGDA/n5dnJerPY8RqWZ6lgOwByXkIr4TVJBo1VdJEEVjFDq8hYHUMvQuJbmOvpFLpIZUhQ01X&#10;5Rzrc4bD2eJQoKkdEgTTUcJUh1PPg0+IYJVsYnbEAd/tL5UnBxZnJX1jUM8aMXpXJbrHmQEW3thm&#10;dBf5nR9bm2BSm3/hx563DPoxJ11FKExRBreo8KhptPa2OSWpkx8fPwVOgxqn689zyn74OT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PEmVnXAAAACAEAAA8AAAAAAAAAAQAgAAAAIgAAAGRycy9k&#10;b3ducmV2LnhtbFBLAQIUABQAAAAIAIdO4kCv0ehhAwIAAOQDAAAOAAAAAAAAAAEAIAAAACYBAABk&#10;cnMvZTJvRG9jLnhtbFBLBQYAAAAABgAGAFkBAACbBQAAAAA=&#10;">
                      <v:fill on="f" focussize="0,0"/>
                      <v:stroke color="#000000 [3200]" joinstyle="round"/>
                      <v:imagedata o:title=""/>
                      <o:lock v:ext="edit" aspectratio="f"/>
                    </v:line>
                  </w:pict>
                </mc:Fallback>
              </mc:AlternateContent>
            </w:r>
            <w:r>
              <w:rPr>
                <w:rFonts w:hint="eastAsia" w:ascii="微软雅黑" w:hAnsi="微软雅黑" w:eastAsia="微软雅黑"/>
                <w:szCs w:val="21"/>
                <w:vertAlign w:val="baseline"/>
                <w:lang w:val="en-US" w:eastAsia="zh-CN"/>
              </w:rPr>
              <w:t xml:space="preserve">                                  </w:t>
            </w:r>
            <w:r>
              <w:rPr>
                <w:rFonts w:hint="eastAsia" w:ascii="微软雅黑" w:hAnsi="微软雅黑" w:eastAsia="微软雅黑"/>
                <w:szCs w:val="21"/>
                <w:vertAlign w:val="baseline"/>
              </w:rPr>
              <w:t>编号</w:t>
            </w:r>
          </w:p>
          <w:p>
            <w:pPr>
              <w:jc w:val="center"/>
              <w:rPr>
                <w:rFonts w:hint="eastAsia" w:ascii="微软雅黑" w:hAnsi="微软雅黑" w:eastAsia="微软雅黑"/>
                <w:szCs w:val="21"/>
                <w:vertAlign w:val="baseline"/>
                <w:lang w:eastAsia="zh-CN"/>
              </w:rPr>
            </w:pPr>
            <w:r>
              <w:rPr>
                <w:rFonts w:hint="eastAsia" w:ascii="微软雅黑" w:hAnsi="微软雅黑" w:eastAsia="微软雅黑"/>
                <w:szCs w:val="21"/>
                <w:vertAlign w:val="baseline"/>
                <w:lang w:eastAsia="zh-CN"/>
              </w:rPr>
              <w:t>名称</w:t>
            </w:r>
          </w:p>
        </w:tc>
        <w:tc>
          <w:tcPr>
            <w:tcW w:w="1600" w:type="dxa"/>
          </w:tcPr>
          <w:p>
            <w:pPr>
              <w:jc w:val="center"/>
              <w:rPr>
                <w:rFonts w:hint="eastAsia" w:ascii="微软雅黑" w:hAnsi="微软雅黑" w:eastAsia="微软雅黑"/>
                <w:szCs w:val="21"/>
                <w:vertAlign w:val="baseline"/>
              </w:rPr>
            </w:pPr>
            <w:bookmarkStart w:id="0" w:name="_GoBack"/>
            <w:r>
              <w:rPr>
                <w:rFonts w:hint="eastAsia" w:ascii="微软雅黑" w:hAnsi="微软雅黑" w:eastAsia="微软雅黑"/>
                <w:szCs w:val="21"/>
                <w:vertAlign w:val="baseline"/>
              </w:rPr>
              <w:t>RC21550</w:t>
            </w:r>
          </w:p>
          <w:bookmarkEnd w:id="0"/>
          <w:p>
            <w:pPr>
              <w:jc w:val="center"/>
              <w:rPr>
                <w:rFonts w:hint="default" w:ascii="微软雅黑" w:hAnsi="微软雅黑" w:eastAsia="微软雅黑"/>
                <w:szCs w:val="21"/>
                <w:vertAlign w:val="baseline"/>
                <w:lang w:val="en-US" w:eastAsia="zh-CN"/>
              </w:rPr>
            </w:pPr>
            <w:r>
              <w:rPr>
                <w:rFonts w:hint="eastAsia" w:ascii="微软雅黑" w:hAnsi="微软雅黑" w:eastAsia="微软雅黑"/>
                <w:szCs w:val="21"/>
                <w:vertAlign w:val="baseline"/>
                <w:lang w:val="en-US" w:eastAsia="zh-CN"/>
              </w:rPr>
              <w:t>100T</w:t>
            </w:r>
          </w:p>
        </w:tc>
        <w:tc>
          <w:tcPr>
            <w:tcW w:w="1982" w:type="dxa"/>
          </w:tcPr>
          <w:p>
            <w:pPr>
              <w:jc w:val="center"/>
              <w:rPr>
                <w:rFonts w:hint="eastAsia" w:ascii="微软雅黑" w:hAnsi="微软雅黑" w:eastAsia="微软雅黑"/>
                <w:szCs w:val="21"/>
                <w:vertAlign w:val="baseline"/>
              </w:rPr>
            </w:pPr>
            <w:r>
              <w:rPr>
                <w:rFonts w:hint="eastAsia" w:ascii="微软雅黑" w:hAnsi="微软雅黑" w:eastAsia="微软雅黑"/>
                <w:szCs w:val="21"/>
                <w:vertAlign w:val="baseline"/>
              </w:rPr>
              <w:t>Storage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4434" w:type="dxa"/>
          </w:tcPr>
          <w:p>
            <w:pPr>
              <w:jc w:val="center"/>
              <w:rPr>
                <w:rFonts w:hint="eastAsia" w:ascii="微软雅黑" w:hAnsi="微软雅黑" w:eastAsia="微软雅黑"/>
                <w:szCs w:val="21"/>
                <w:vertAlign w:val="baseline"/>
              </w:rPr>
            </w:pPr>
            <w:r>
              <w:rPr>
                <w:rFonts w:ascii="宋体" w:hAnsi="宋体" w:eastAsia="宋体" w:cs="宋体"/>
                <w:sz w:val="24"/>
                <w:szCs w:val="24"/>
              </w:rPr>
              <w:t>试剂(A): O-tolidine Solution</w:t>
            </w:r>
          </w:p>
        </w:tc>
        <w:tc>
          <w:tcPr>
            <w:tcW w:w="1600" w:type="dxa"/>
          </w:tcPr>
          <w:p>
            <w:pPr>
              <w:jc w:val="center"/>
              <w:rPr>
                <w:rFonts w:hint="eastAsia" w:ascii="微软雅黑" w:hAnsi="微软雅黑" w:eastAsia="微软雅黑"/>
                <w:szCs w:val="21"/>
                <w:vertAlign w:val="baseline"/>
              </w:rPr>
            </w:pPr>
            <w:r>
              <w:rPr>
                <w:rFonts w:hint="eastAsia" w:ascii="微软雅黑" w:hAnsi="微软雅黑" w:eastAsia="微软雅黑"/>
                <w:szCs w:val="21"/>
                <w:vertAlign w:val="baseline"/>
                <w:lang w:val="en-US" w:eastAsia="zh-CN"/>
              </w:rPr>
              <w:t>2</w:t>
            </w:r>
            <w:r>
              <w:rPr>
                <w:rFonts w:hint="eastAsia" w:ascii="微软雅黑" w:hAnsi="微软雅黑" w:eastAsia="微软雅黑"/>
                <w:szCs w:val="21"/>
                <w:vertAlign w:val="baseline"/>
              </w:rPr>
              <w:t xml:space="preserve">0ml </w:t>
            </w:r>
          </w:p>
        </w:tc>
        <w:tc>
          <w:tcPr>
            <w:tcW w:w="1982" w:type="dxa"/>
          </w:tcPr>
          <w:p>
            <w:pPr>
              <w:jc w:val="center"/>
              <w:rPr>
                <w:rFonts w:hint="eastAsia" w:ascii="微软雅黑" w:hAnsi="微软雅黑" w:eastAsia="微软雅黑"/>
                <w:szCs w:val="21"/>
                <w:vertAlign w:val="baseline"/>
              </w:rPr>
            </w:pPr>
            <w:r>
              <w:rPr>
                <w:rFonts w:ascii="宋体" w:hAnsi="宋体" w:eastAsia="宋体" w:cs="宋体"/>
                <w:sz w:val="24"/>
                <w:szCs w:val="24"/>
              </w:rPr>
              <w:t>4℃ 避光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4" w:type="dxa"/>
          </w:tcPr>
          <w:p>
            <w:pPr>
              <w:jc w:val="center"/>
              <w:rPr>
                <w:rFonts w:hint="eastAsia" w:ascii="微软雅黑" w:hAnsi="微软雅黑" w:eastAsia="微软雅黑"/>
                <w:szCs w:val="21"/>
                <w:vertAlign w:val="baseline"/>
              </w:rPr>
            </w:pPr>
            <w:r>
              <w:rPr>
                <w:rFonts w:ascii="宋体" w:hAnsi="宋体" w:eastAsia="宋体" w:cs="宋体"/>
                <w:sz w:val="24"/>
                <w:szCs w:val="24"/>
              </w:rPr>
              <w:t>试剂(B): 氧化剂</w:t>
            </w:r>
          </w:p>
        </w:tc>
        <w:tc>
          <w:tcPr>
            <w:tcW w:w="1600" w:type="dxa"/>
          </w:tcPr>
          <w:p>
            <w:pPr>
              <w:jc w:val="center"/>
              <w:rPr>
                <w:rFonts w:hint="eastAsia" w:ascii="微软雅黑" w:hAnsi="微软雅黑" w:eastAsia="微软雅黑"/>
                <w:szCs w:val="21"/>
                <w:vertAlign w:val="baseline"/>
              </w:rPr>
            </w:pPr>
            <w:r>
              <w:rPr>
                <w:rFonts w:hint="eastAsia" w:ascii="微软雅黑" w:hAnsi="微软雅黑" w:eastAsia="微软雅黑"/>
                <w:szCs w:val="21"/>
                <w:vertAlign w:val="baseline"/>
                <w:lang w:val="en-US" w:eastAsia="zh-CN"/>
              </w:rPr>
              <w:t>2</w:t>
            </w:r>
            <w:r>
              <w:rPr>
                <w:rFonts w:hint="eastAsia" w:ascii="微软雅黑" w:hAnsi="微软雅黑" w:eastAsia="微软雅黑"/>
                <w:szCs w:val="21"/>
                <w:vertAlign w:val="baseline"/>
              </w:rPr>
              <w:t xml:space="preserve">0ml </w:t>
            </w:r>
          </w:p>
        </w:tc>
        <w:tc>
          <w:tcPr>
            <w:tcW w:w="1982" w:type="dxa"/>
          </w:tcPr>
          <w:p>
            <w:pPr>
              <w:jc w:val="center"/>
              <w:rPr>
                <w:rFonts w:hint="eastAsia" w:ascii="微软雅黑" w:hAnsi="微软雅黑" w:eastAsia="微软雅黑"/>
                <w:szCs w:val="21"/>
                <w:vertAlign w:val="baseline"/>
              </w:rPr>
            </w:pPr>
            <w:r>
              <w:rPr>
                <w:rFonts w:ascii="宋体" w:hAnsi="宋体" w:eastAsia="宋体" w:cs="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4" w:type="dxa"/>
          </w:tcPr>
          <w:p>
            <w:pPr>
              <w:jc w:val="center"/>
              <w:rPr>
                <w:rFonts w:hint="eastAsia" w:ascii="微软雅黑" w:hAnsi="微软雅黑" w:eastAsia="微软雅黑"/>
                <w:szCs w:val="21"/>
                <w:vertAlign w:val="baseline"/>
              </w:rPr>
            </w:pPr>
            <w:r>
              <w:rPr>
                <w:rFonts w:ascii="宋体" w:hAnsi="宋体" w:eastAsia="宋体" w:cs="宋体"/>
                <w:sz w:val="24"/>
                <w:szCs w:val="24"/>
              </w:rPr>
              <w:t>试剂(C): Acid Assay Buffer</w:t>
            </w:r>
          </w:p>
        </w:tc>
        <w:tc>
          <w:tcPr>
            <w:tcW w:w="1600" w:type="dxa"/>
          </w:tcPr>
          <w:p>
            <w:pPr>
              <w:jc w:val="center"/>
              <w:rPr>
                <w:rFonts w:hint="default" w:ascii="微软雅黑" w:hAnsi="微软雅黑" w:eastAsia="微软雅黑"/>
                <w:szCs w:val="21"/>
                <w:vertAlign w:val="baseline"/>
                <w:lang w:val="en-US" w:eastAsia="zh-CN"/>
              </w:rPr>
            </w:pPr>
            <w:r>
              <w:rPr>
                <w:rFonts w:hint="eastAsia" w:ascii="微软雅黑" w:hAnsi="微软雅黑" w:eastAsia="微软雅黑"/>
                <w:szCs w:val="21"/>
                <w:vertAlign w:val="baseline"/>
                <w:lang w:val="en-US" w:eastAsia="zh-CN"/>
              </w:rPr>
              <w:t>100</w:t>
            </w:r>
            <w:r>
              <w:rPr>
                <w:rFonts w:hint="eastAsia" w:ascii="微软雅黑" w:hAnsi="微软雅黑" w:eastAsia="微软雅黑"/>
                <w:szCs w:val="21"/>
                <w:vertAlign w:val="baseline"/>
              </w:rPr>
              <w:t xml:space="preserve">ml </w:t>
            </w:r>
          </w:p>
        </w:tc>
        <w:tc>
          <w:tcPr>
            <w:tcW w:w="1982" w:type="dxa"/>
          </w:tcPr>
          <w:p>
            <w:pPr>
              <w:jc w:val="center"/>
              <w:rPr>
                <w:rFonts w:hint="eastAsia" w:ascii="微软雅黑" w:hAnsi="微软雅黑" w:eastAsia="微软雅黑"/>
                <w:szCs w:val="21"/>
                <w:vertAlign w:val="baseline"/>
              </w:rPr>
            </w:pPr>
            <w:r>
              <w:rPr>
                <w:rFonts w:ascii="宋体" w:hAnsi="宋体" w:eastAsia="宋体" w:cs="宋体"/>
                <w:sz w:val="24"/>
                <w:szCs w:val="24"/>
              </w:rPr>
              <w:t>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4" w:type="dxa"/>
          </w:tcPr>
          <w:p>
            <w:pPr>
              <w:jc w:val="center"/>
              <w:rPr>
                <w:rFonts w:hint="eastAsia" w:ascii="微软雅黑" w:hAnsi="微软雅黑" w:eastAsia="微软雅黑"/>
                <w:szCs w:val="21"/>
                <w:vertAlign w:val="baseline"/>
              </w:rPr>
            </w:pPr>
            <w:r>
              <w:rPr>
                <w:rFonts w:ascii="宋体" w:hAnsi="宋体" w:eastAsia="宋体" w:cs="宋体"/>
                <w:sz w:val="24"/>
                <w:szCs w:val="24"/>
              </w:rPr>
              <w:t>试剂(D): Hb(1mg/ml)</w:t>
            </w:r>
          </w:p>
        </w:tc>
        <w:tc>
          <w:tcPr>
            <w:tcW w:w="1600" w:type="dxa"/>
          </w:tcPr>
          <w:p>
            <w:pPr>
              <w:jc w:val="center"/>
              <w:rPr>
                <w:rFonts w:hint="default" w:ascii="微软雅黑" w:hAnsi="微软雅黑" w:eastAsia="微软雅黑"/>
                <w:szCs w:val="21"/>
                <w:vertAlign w:val="baseline"/>
                <w:lang w:val="en-US" w:eastAsia="zh-CN"/>
              </w:rPr>
            </w:pPr>
            <w:r>
              <w:rPr>
                <w:rFonts w:hint="eastAsia" w:ascii="微软雅黑" w:hAnsi="微软雅黑" w:eastAsia="微软雅黑"/>
                <w:szCs w:val="21"/>
                <w:vertAlign w:val="baseline"/>
                <w:lang w:val="en-US" w:eastAsia="zh-CN"/>
              </w:rPr>
              <w:t>0.5</w:t>
            </w:r>
            <w:r>
              <w:rPr>
                <w:rFonts w:hint="eastAsia" w:ascii="微软雅黑" w:hAnsi="微软雅黑" w:eastAsia="微软雅黑"/>
                <w:szCs w:val="21"/>
                <w:vertAlign w:val="baseline"/>
              </w:rPr>
              <w:t xml:space="preserve">ml </w:t>
            </w:r>
          </w:p>
        </w:tc>
        <w:tc>
          <w:tcPr>
            <w:tcW w:w="1982" w:type="dxa"/>
          </w:tcPr>
          <w:p>
            <w:pPr>
              <w:jc w:val="center"/>
              <w:rPr>
                <w:rFonts w:hint="eastAsia" w:ascii="微软雅黑" w:hAnsi="微软雅黑" w:eastAsia="微软雅黑"/>
                <w:szCs w:val="21"/>
                <w:vertAlign w:val="baseline"/>
              </w:rPr>
            </w:pPr>
            <w:r>
              <w:rPr>
                <w:rFonts w:ascii="宋体" w:hAnsi="宋体" w:eastAsia="宋体" w:cs="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4" w:type="dxa"/>
          </w:tcPr>
          <w:p>
            <w:pPr>
              <w:jc w:val="center"/>
              <w:rPr>
                <w:rFonts w:hint="eastAsia" w:ascii="微软雅黑" w:hAnsi="微软雅黑" w:eastAsia="微软雅黑"/>
                <w:szCs w:val="21"/>
                <w:vertAlign w:val="baseline"/>
              </w:rPr>
            </w:pPr>
            <w:r>
              <w:rPr>
                <w:rFonts w:hint="eastAsia" w:ascii="微软雅黑" w:hAnsi="微软雅黑" w:eastAsia="微软雅黑"/>
                <w:szCs w:val="21"/>
                <w:vertAlign w:val="baseline"/>
              </w:rPr>
              <w:t>使用说明书</w:t>
            </w:r>
          </w:p>
        </w:tc>
        <w:tc>
          <w:tcPr>
            <w:tcW w:w="3582" w:type="dxa"/>
            <w:gridSpan w:val="2"/>
          </w:tcPr>
          <w:p>
            <w:pPr>
              <w:jc w:val="center"/>
              <w:rPr>
                <w:rFonts w:hint="eastAsia" w:ascii="微软雅黑" w:hAnsi="微软雅黑" w:eastAsia="微软雅黑"/>
                <w:szCs w:val="21"/>
                <w:vertAlign w:val="baseline"/>
                <w:lang w:val="en-US" w:eastAsia="zh-CN"/>
              </w:rPr>
            </w:pPr>
            <w:r>
              <w:rPr>
                <w:rFonts w:hint="eastAsia" w:ascii="微软雅黑" w:hAnsi="微软雅黑" w:eastAsia="微软雅黑"/>
                <w:szCs w:val="21"/>
                <w:vertAlign w:val="baseline"/>
                <w:lang w:val="en-US" w:eastAsia="zh-CN"/>
              </w:rPr>
              <w:t>一份</w:t>
            </w:r>
          </w:p>
        </w:tc>
      </w:tr>
    </w:tbl>
    <w:p>
      <w:pPr>
        <w:ind w:firstLine="440" w:firstLineChars="200"/>
        <w:jc w:val="both"/>
        <w:rPr>
          <w:rFonts w:hint="eastAsia" w:ascii="微软雅黑" w:hAnsi="微软雅黑" w:eastAsia="微软雅黑" w:cs="微软雅黑"/>
          <w:b/>
          <w:bCs/>
          <w:sz w:val="24"/>
          <w:szCs w:val="24"/>
          <w:lang w:val="en-US" w:eastAsia="zh-CN" w:bidi="zh-CN"/>
        </w:rPr>
      </w:pPr>
      <w:r>
        <w:rPr>
          <w:rFonts w:hint="eastAsia" w:ascii="微软雅黑" w:hAnsi="微软雅黑" w:eastAsia="微软雅黑"/>
          <w:szCs w:val="21"/>
        </w:rPr>
        <w:br w:type="textWrapping"/>
      </w:r>
    </w:p>
    <w:p>
      <w:pPr>
        <w:jc w:val="both"/>
        <w:rPr>
          <w:rFonts w:hint="eastAsia" w:ascii="微软雅黑" w:hAnsi="微软雅黑" w:eastAsia="微软雅黑" w:cs="微软雅黑"/>
          <w:b/>
          <w:bCs/>
          <w:sz w:val="24"/>
          <w:szCs w:val="24"/>
          <w:lang w:val="en-US" w:eastAsia="zh-CN" w:bidi="zh-CN"/>
        </w:rPr>
      </w:pPr>
      <w:r>
        <w:rPr>
          <w:rFonts w:hint="eastAsia" w:ascii="微软雅黑" w:hAnsi="微软雅黑" w:eastAsia="微软雅黑" w:cs="微软雅黑"/>
          <w:b/>
          <w:bCs/>
          <w:sz w:val="24"/>
          <w:szCs w:val="24"/>
          <w:lang w:val="en-US" w:eastAsia="zh-CN" w:bidi="zh-CN"/>
        </w:rPr>
        <w:t>自备材料：</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1、96 孔板、酶标仪或分光光度计</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2、生理盐水或蒸馏水</w:t>
      </w:r>
    </w:p>
    <w:p>
      <w:pPr>
        <w:jc w:val="both"/>
        <w:rPr>
          <w:rFonts w:hint="eastAsia" w:ascii="宋体" w:hAnsi="宋体" w:eastAsia="宋体" w:cs="宋体"/>
          <w:sz w:val="24"/>
          <w:szCs w:val="24"/>
          <w:lang w:val="en-US" w:eastAsia="zh-CN"/>
        </w:rPr>
      </w:pPr>
    </w:p>
    <w:p>
      <w:pPr>
        <w:jc w:val="both"/>
        <w:rPr>
          <w:rFonts w:hint="eastAsia" w:ascii="微软雅黑" w:hAnsi="微软雅黑" w:eastAsia="微软雅黑" w:cs="微软雅黑"/>
          <w:b/>
          <w:bCs/>
          <w:sz w:val="24"/>
          <w:szCs w:val="24"/>
          <w:lang w:val="en-US" w:eastAsia="zh-CN" w:bidi="zh-CN"/>
        </w:rPr>
      </w:pPr>
      <w:r>
        <w:rPr>
          <w:rFonts w:hint="eastAsia" w:ascii="微软雅黑" w:hAnsi="微软雅黑" w:eastAsia="微软雅黑" w:cs="微软雅黑"/>
          <w:b/>
          <w:bCs/>
          <w:sz w:val="24"/>
          <w:szCs w:val="24"/>
          <w:lang w:val="en-US" w:eastAsia="zh-CN" w:bidi="zh-CN"/>
        </w:rPr>
        <w:t>操作步骤</w:t>
      </w:r>
      <w:r>
        <w:rPr>
          <w:rFonts w:ascii="宋体" w:hAnsi="宋体" w:eastAsia="宋体" w:cs="宋体"/>
          <w:sz w:val="24"/>
          <w:szCs w:val="24"/>
        </w:rPr>
        <w:t>(仅供参考)</w:t>
      </w:r>
      <w:r>
        <w:rPr>
          <w:rFonts w:hint="eastAsia" w:ascii="微软雅黑" w:hAnsi="微软雅黑" w:eastAsia="微软雅黑" w:cs="微软雅黑"/>
          <w:b/>
          <w:bCs/>
          <w:sz w:val="24"/>
          <w:szCs w:val="24"/>
          <w:lang w:val="en-US" w:eastAsia="zh-CN" w:bidi="zh-CN"/>
        </w:rPr>
        <w:t>：</w:t>
      </w:r>
    </w:p>
    <w:p>
      <w:pPr>
        <w:widowControl w:val="0"/>
        <w:numPr>
          <w:ilvl w:val="0"/>
          <w:numId w:val="0"/>
        </w:numPr>
        <w:autoSpaceDE w:val="0"/>
        <w:autoSpaceDN w:val="0"/>
        <w:spacing w:before="0" w:after="0" w:line="240" w:lineRule="auto"/>
        <w:ind w:right="0" w:rightChars="0"/>
        <w:jc w:val="both"/>
        <w:rPr>
          <w:rFonts w:hint="eastAsia" w:ascii="微软雅黑" w:hAnsi="微软雅黑" w:eastAsia="微软雅黑" w:cs="微软雅黑"/>
          <w:b/>
          <w:bCs/>
          <w:sz w:val="24"/>
          <w:szCs w:val="24"/>
          <w:lang w:val="en-US" w:eastAsia="zh-CN" w:bidi="zh-CN"/>
        </w:rPr>
      </w:pPr>
      <w:r>
        <w:rPr>
          <w:rFonts w:hint="eastAsia" w:ascii="微软雅黑" w:hAnsi="微软雅黑" w:eastAsia="微软雅黑" w:cs="微软雅黑"/>
          <w:b/>
          <w:bCs/>
          <w:sz w:val="24"/>
          <w:szCs w:val="24"/>
          <w:lang w:val="en-US" w:eastAsia="zh-CN" w:bidi="zh-CN"/>
        </w:rPr>
        <w:t>1、准备样品：</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①血浆、尿液样品：血浆、血清按照常规方法制备后可以直接用于本试剂盒的测定，尿液通常也可以直接用于测定，获得的样品-20℃冻存备用。</w:t>
      </w:r>
    </w:p>
    <w:p>
      <w:pPr>
        <w:widowControl w:val="0"/>
        <w:numPr>
          <w:ilvl w:val="0"/>
          <w:numId w:val="0"/>
        </w:numPr>
        <w:autoSpaceDE w:val="0"/>
        <w:autoSpaceDN w:val="0"/>
        <w:spacing w:before="0" w:after="0" w:line="240" w:lineRule="auto"/>
        <w:ind w:right="0" w:rightChars="0"/>
        <w:jc w:val="both"/>
        <w:rPr>
          <w:rFonts w:hint="eastAsia" w:ascii="微软雅黑" w:hAnsi="微软雅黑" w:eastAsia="微软雅黑" w:cs="微软雅黑"/>
          <w:b/>
          <w:bCs/>
          <w:sz w:val="24"/>
          <w:szCs w:val="24"/>
          <w:lang w:val="en-US" w:eastAsia="zh-CN" w:bidi="zh-CN"/>
        </w:rPr>
      </w:pPr>
      <w:r>
        <w:rPr>
          <w:rFonts w:hint="eastAsia" w:ascii="微软雅黑" w:hAnsi="微软雅黑" w:eastAsia="微软雅黑" w:cs="微软雅黑"/>
          <w:b/>
          <w:bCs/>
          <w:sz w:val="24"/>
          <w:szCs w:val="24"/>
          <w:lang w:val="en-US" w:eastAsia="zh-CN" w:bidi="zh-CN"/>
        </w:rPr>
        <w:t>②</w:t>
      </w:r>
      <w:r>
        <w:rPr>
          <w:rFonts w:hint="eastAsia" w:ascii="宋体" w:hAnsi="宋体" w:eastAsia="宋体" w:cs="宋体"/>
          <w:sz w:val="24"/>
          <w:szCs w:val="24"/>
          <w:lang w:val="en-US" w:eastAsia="zh-CN"/>
        </w:rPr>
        <w:t>细胞或组织样品：取恰当的细胞或组织裂解液，如果有必要需进行适当匀浆，低速离心取上清，获得的样品-20℃冻存备用。</w:t>
      </w:r>
    </w:p>
    <w:p>
      <w:pPr>
        <w:widowControl w:val="0"/>
        <w:numPr>
          <w:ilvl w:val="0"/>
          <w:numId w:val="0"/>
        </w:numPr>
        <w:autoSpaceDE w:val="0"/>
        <w:autoSpaceDN w:val="0"/>
        <w:spacing w:before="0" w:after="0" w:line="240" w:lineRule="auto"/>
        <w:ind w:right="0" w:rightChars="0"/>
        <w:jc w:val="both"/>
        <w:rPr>
          <w:rFonts w:hint="eastAsia" w:ascii="微软雅黑" w:hAnsi="微软雅黑" w:eastAsia="微软雅黑" w:cs="微软雅黑"/>
          <w:b/>
          <w:bCs/>
          <w:sz w:val="24"/>
          <w:szCs w:val="24"/>
          <w:lang w:val="en-US" w:eastAsia="zh-CN" w:bidi="zh-CN"/>
        </w:rPr>
      </w:pPr>
      <w:r>
        <w:rPr>
          <w:rFonts w:hint="eastAsia" w:ascii="微软雅黑" w:hAnsi="微软雅黑" w:eastAsia="微软雅黑" w:cs="微软雅黑"/>
          <w:b/>
          <w:bCs/>
          <w:sz w:val="24"/>
          <w:szCs w:val="24"/>
          <w:lang w:val="en-US" w:eastAsia="zh-CN" w:bidi="zh-CN"/>
        </w:rPr>
        <w:t>2、</w:t>
      </w:r>
      <w:r>
        <w:rPr>
          <w:rFonts w:hint="eastAsia" w:ascii="宋体" w:hAnsi="宋体" w:eastAsia="宋体" w:cs="宋体"/>
          <w:sz w:val="24"/>
          <w:szCs w:val="24"/>
          <w:lang w:val="en-US" w:eastAsia="zh-CN"/>
        </w:rPr>
        <w:t>配制 Hb 标准品工作液：取 Hb(1mg/ml) 10μl 加入 90μl 生理盐水，即为标准品工作液(100μg/ml)。</w:t>
      </w:r>
    </w:p>
    <w:p>
      <w:pPr>
        <w:widowControl w:val="0"/>
        <w:numPr>
          <w:ilvl w:val="0"/>
          <w:numId w:val="0"/>
        </w:numPr>
        <w:autoSpaceDE w:val="0"/>
        <w:autoSpaceDN w:val="0"/>
        <w:spacing w:before="0" w:after="0" w:line="240" w:lineRule="auto"/>
        <w:ind w:right="0" w:rightChars="0"/>
        <w:jc w:val="both"/>
        <w:rPr>
          <w:rFonts w:hint="eastAsia" w:ascii="微软雅黑" w:hAnsi="微软雅黑" w:eastAsia="微软雅黑" w:cs="微软雅黑"/>
          <w:b/>
          <w:bCs/>
          <w:sz w:val="24"/>
          <w:szCs w:val="24"/>
          <w:lang w:val="en-US" w:eastAsia="zh-CN" w:bidi="zh-CN"/>
        </w:rPr>
      </w:pPr>
      <w:r>
        <w:rPr>
          <w:rFonts w:hint="eastAsia" w:ascii="微软雅黑" w:hAnsi="微软雅黑" w:eastAsia="微软雅黑" w:cs="微软雅黑"/>
          <w:b/>
          <w:bCs/>
          <w:sz w:val="24"/>
          <w:szCs w:val="24"/>
          <w:lang w:val="en-US" w:eastAsia="zh-CN" w:bidi="zh-CN"/>
        </w:rPr>
        <w:t>3、</w:t>
      </w:r>
      <w:r>
        <w:rPr>
          <w:rFonts w:hint="eastAsia" w:ascii="宋体" w:hAnsi="宋体" w:eastAsia="宋体" w:cs="宋体"/>
          <w:sz w:val="24"/>
          <w:szCs w:val="24"/>
          <w:lang w:val="en-US" w:eastAsia="zh-CN"/>
        </w:rPr>
        <w:t>FHB 加样：取 96 孔板或 EP 管，按照下表设置空白孔/管、标准孔/管、测定孔/管，溶液应按照顺序依次加入，并注意避免产生气泡。如果样品中的血红蛋白含量过低，可以增加各管用量（0.02 增加到 0.1 或其他用量，保证各管体积一致即可）；如果样品中的血红蛋白含量过高，可以减少样品用量或适当稀释后再进行测定。样品的检测最好能设置平行孔/管，尤其是标准品应作三复孔/管。</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616"/>
        <w:gridCol w:w="2235"/>
        <w:gridCol w:w="2190"/>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616" w:type="dxa"/>
          </w:tcPr>
          <w:p>
            <w:pPr>
              <w:widowControl w:val="0"/>
              <w:numPr>
                <w:ilvl w:val="0"/>
                <w:numId w:val="0"/>
              </w:numPr>
              <w:autoSpaceDE w:val="0"/>
              <w:autoSpaceDN w:val="0"/>
              <w:spacing w:before="0" w:after="0" w:line="240" w:lineRule="auto"/>
              <w:ind w:right="0" w:rightChars="0"/>
              <w:jc w:val="both"/>
              <w:rPr>
                <w:rFonts w:hint="eastAsia" w:ascii="微软雅黑" w:hAnsi="微软雅黑" w:eastAsia="微软雅黑" w:cs="微软雅黑"/>
                <w:b/>
                <w:bCs/>
                <w:sz w:val="24"/>
                <w:szCs w:val="24"/>
                <w:vertAlign w:val="baseline"/>
                <w:lang w:val="en-US" w:eastAsia="zh-CN" w:bidi="zh-CN"/>
              </w:rPr>
            </w:pPr>
            <w:r>
              <w:rPr>
                <w:rFonts w:ascii="宋体" w:hAnsi="宋体" w:eastAsia="宋体" w:cs="宋体"/>
                <w:sz w:val="24"/>
                <w:szCs w:val="24"/>
              </w:rPr>
              <w:t>加入物(ml)</w:t>
            </w:r>
          </w:p>
        </w:tc>
        <w:tc>
          <w:tcPr>
            <w:tcW w:w="2235" w:type="dxa"/>
          </w:tcPr>
          <w:p>
            <w:pPr>
              <w:widowControl w:val="0"/>
              <w:numPr>
                <w:ilvl w:val="0"/>
                <w:numId w:val="0"/>
              </w:numPr>
              <w:autoSpaceDE w:val="0"/>
              <w:autoSpaceDN w:val="0"/>
              <w:spacing w:before="0" w:after="0" w:line="240" w:lineRule="auto"/>
              <w:ind w:right="0" w:rightChars="0"/>
              <w:jc w:val="both"/>
              <w:rPr>
                <w:rFonts w:hint="eastAsia" w:ascii="微软雅黑" w:hAnsi="微软雅黑" w:eastAsia="微软雅黑" w:cs="微软雅黑"/>
                <w:b/>
                <w:bCs/>
                <w:sz w:val="24"/>
                <w:szCs w:val="24"/>
                <w:vertAlign w:val="baseline"/>
                <w:lang w:val="en-US" w:eastAsia="zh-CN" w:bidi="zh-CN"/>
              </w:rPr>
            </w:pPr>
            <w:r>
              <w:rPr>
                <w:rFonts w:ascii="宋体" w:hAnsi="宋体" w:eastAsia="宋体" w:cs="宋体"/>
                <w:sz w:val="24"/>
                <w:szCs w:val="24"/>
              </w:rPr>
              <w:t>空白孔/管</w:t>
            </w:r>
          </w:p>
        </w:tc>
        <w:tc>
          <w:tcPr>
            <w:tcW w:w="2190" w:type="dxa"/>
          </w:tcPr>
          <w:p>
            <w:pPr>
              <w:widowControl w:val="0"/>
              <w:numPr>
                <w:ilvl w:val="0"/>
                <w:numId w:val="0"/>
              </w:numPr>
              <w:autoSpaceDE w:val="0"/>
              <w:autoSpaceDN w:val="0"/>
              <w:spacing w:before="0" w:after="0" w:line="240" w:lineRule="auto"/>
              <w:ind w:right="0" w:rightChars="0"/>
              <w:jc w:val="both"/>
              <w:rPr>
                <w:rFonts w:hint="eastAsia" w:ascii="微软雅黑" w:hAnsi="微软雅黑" w:eastAsia="微软雅黑" w:cs="微软雅黑"/>
                <w:b/>
                <w:bCs/>
                <w:sz w:val="24"/>
                <w:szCs w:val="24"/>
                <w:vertAlign w:val="baseline"/>
                <w:lang w:val="en-US" w:eastAsia="zh-CN" w:bidi="zh-CN"/>
              </w:rPr>
            </w:pPr>
            <w:r>
              <w:rPr>
                <w:rFonts w:ascii="宋体" w:hAnsi="宋体" w:eastAsia="宋体" w:cs="宋体"/>
                <w:sz w:val="24"/>
                <w:szCs w:val="24"/>
              </w:rPr>
              <w:t>标准孔/管</w:t>
            </w:r>
          </w:p>
        </w:tc>
        <w:tc>
          <w:tcPr>
            <w:tcW w:w="2175" w:type="dxa"/>
          </w:tcPr>
          <w:p>
            <w:pPr>
              <w:widowControl w:val="0"/>
              <w:numPr>
                <w:ilvl w:val="0"/>
                <w:numId w:val="0"/>
              </w:numPr>
              <w:autoSpaceDE w:val="0"/>
              <w:autoSpaceDN w:val="0"/>
              <w:spacing w:before="0" w:after="0" w:line="240" w:lineRule="auto"/>
              <w:ind w:right="0" w:rightChars="0"/>
              <w:jc w:val="both"/>
              <w:rPr>
                <w:rFonts w:hint="eastAsia" w:ascii="微软雅黑" w:hAnsi="微软雅黑" w:eastAsia="微软雅黑" w:cs="微软雅黑"/>
                <w:b/>
                <w:bCs/>
                <w:sz w:val="24"/>
                <w:szCs w:val="24"/>
                <w:vertAlign w:val="baseline"/>
                <w:lang w:val="en-US" w:eastAsia="zh-CN" w:bidi="zh-CN"/>
              </w:rPr>
            </w:pPr>
            <w:r>
              <w:rPr>
                <w:rFonts w:ascii="宋体" w:hAnsi="宋体" w:eastAsia="宋体" w:cs="宋体"/>
                <w:sz w:val="24"/>
                <w:szCs w:val="24"/>
              </w:rPr>
              <w:t>测定孔/管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616" w:type="dxa"/>
          </w:tcPr>
          <w:p>
            <w:pPr>
              <w:widowControl w:val="0"/>
              <w:numPr>
                <w:ilvl w:val="0"/>
                <w:numId w:val="0"/>
              </w:numPr>
              <w:autoSpaceDE w:val="0"/>
              <w:autoSpaceDN w:val="0"/>
              <w:spacing w:before="0" w:after="0" w:line="240" w:lineRule="auto"/>
              <w:ind w:right="0" w:rightChars="0"/>
              <w:jc w:val="both"/>
              <w:rPr>
                <w:rFonts w:hint="eastAsia" w:ascii="微软雅黑" w:hAnsi="微软雅黑" w:eastAsia="微软雅黑" w:cs="微软雅黑"/>
                <w:b/>
                <w:bCs/>
                <w:sz w:val="24"/>
                <w:szCs w:val="24"/>
                <w:vertAlign w:val="baseline"/>
                <w:lang w:val="en-US" w:eastAsia="zh-CN" w:bidi="zh-CN"/>
              </w:rPr>
            </w:pPr>
            <w:r>
              <w:rPr>
                <w:rFonts w:ascii="宋体" w:hAnsi="宋体" w:eastAsia="宋体" w:cs="宋体"/>
                <w:sz w:val="24"/>
                <w:szCs w:val="24"/>
              </w:rPr>
              <w:t>生理盐水</w:t>
            </w:r>
          </w:p>
        </w:tc>
        <w:tc>
          <w:tcPr>
            <w:tcW w:w="2235" w:type="dxa"/>
          </w:tcPr>
          <w:p>
            <w:pPr>
              <w:widowControl w:val="0"/>
              <w:numPr>
                <w:ilvl w:val="0"/>
                <w:numId w:val="0"/>
              </w:numPr>
              <w:autoSpaceDE w:val="0"/>
              <w:autoSpaceDN w:val="0"/>
              <w:spacing w:before="0" w:after="0" w:line="240" w:lineRule="auto"/>
              <w:ind w:right="0" w:rightChars="0"/>
              <w:jc w:val="both"/>
              <w:rPr>
                <w:rFonts w:hint="eastAsia" w:ascii="微软雅黑" w:hAnsi="微软雅黑" w:eastAsia="微软雅黑" w:cs="微软雅黑"/>
                <w:b/>
                <w:bCs/>
                <w:sz w:val="24"/>
                <w:szCs w:val="24"/>
                <w:vertAlign w:val="baseline"/>
                <w:lang w:val="en-US" w:eastAsia="zh-CN" w:bidi="zh-CN"/>
              </w:rPr>
            </w:pPr>
            <w:r>
              <w:rPr>
                <w:rFonts w:ascii="宋体" w:hAnsi="宋体" w:eastAsia="宋体" w:cs="宋体"/>
                <w:sz w:val="24"/>
                <w:szCs w:val="24"/>
              </w:rPr>
              <w:t>0.02</w:t>
            </w:r>
          </w:p>
        </w:tc>
        <w:tc>
          <w:tcPr>
            <w:tcW w:w="2190" w:type="dxa"/>
          </w:tcPr>
          <w:p>
            <w:pPr>
              <w:widowControl w:val="0"/>
              <w:numPr>
                <w:ilvl w:val="0"/>
                <w:numId w:val="0"/>
              </w:numPr>
              <w:autoSpaceDE w:val="0"/>
              <w:autoSpaceDN w:val="0"/>
              <w:spacing w:before="0" w:after="0" w:line="240" w:lineRule="auto"/>
              <w:ind w:right="0" w:rightChars="0"/>
              <w:jc w:val="both"/>
              <w:rPr>
                <w:rFonts w:hint="default" w:ascii="微软雅黑" w:hAnsi="微软雅黑" w:eastAsia="微软雅黑" w:cs="微软雅黑"/>
                <w:b/>
                <w:bCs/>
                <w:sz w:val="24"/>
                <w:szCs w:val="24"/>
                <w:vertAlign w:val="baseline"/>
                <w:lang w:val="en-US" w:eastAsia="zh-CN" w:bidi="zh-CN"/>
              </w:rPr>
            </w:pPr>
            <w:r>
              <w:rPr>
                <w:rFonts w:hint="eastAsia" w:ascii="微软雅黑" w:hAnsi="微软雅黑" w:eastAsia="微软雅黑" w:cs="微软雅黑"/>
                <w:b/>
                <w:bCs/>
                <w:sz w:val="24"/>
                <w:szCs w:val="24"/>
                <w:vertAlign w:val="baseline"/>
                <w:lang w:val="en-US" w:eastAsia="zh-CN" w:bidi="zh-CN"/>
              </w:rPr>
              <w:t>-</w:t>
            </w:r>
          </w:p>
        </w:tc>
        <w:tc>
          <w:tcPr>
            <w:tcW w:w="2175" w:type="dxa"/>
          </w:tcPr>
          <w:p>
            <w:pPr>
              <w:widowControl w:val="0"/>
              <w:numPr>
                <w:ilvl w:val="0"/>
                <w:numId w:val="0"/>
              </w:numPr>
              <w:autoSpaceDE w:val="0"/>
              <w:autoSpaceDN w:val="0"/>
              <w:spacing w:before="0" w:after="0" w:line="240" w:lineRule="auto"/>
              <w:ind w:right="0" w:rightChars="0"/>
              <w:jc w:val="both"/>
              <w:rPr>
                <w:rFonts w:hint="default" w:ascii="微软雅黑" w:hAnsi="微软雅黑" w:eastAsia="微软雅黑" w:cs="微软雅黑"/>
                <w:b/>
                <w:bCs/>
                <w:sz w:val="24"/>
                <w:szCs w:val="24"/>
                <w:vertAlign w:val="baseline"/>
                <w:lang w:val="en-US" w:eastAsia="zh-CN" w:bidi="zh-CN"/>
              </w:rPr>
            </w:pPr>
            <w:r>
              <w:rPr>
                <w:rFonts w:hint="eastAsia" w:ascii="微软雅黑" w:hAnsi="微软雅黑" w:eastAsia="微软雅黑" w:cs="微软雅黑"/>
                <w:b/>
                <w:bCs/>
                <w:sz w:val="24"/>
                <w:szCs w:val="24"/>
                <w:vertAlign w:val="baseline"/>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616" w:type="dxa"/>
          </w:tcPr>
          <w:p>
            <w:pPr>
              <w:widowControl w:val="0"/>
              <w:numPr>
                <w:ilvl w:val="0"/>
                <w:numId w:val="0"/>
              </w:numPr>
              <w:autoSpaceDE w:val="0"/>
              <w:autoSpaceDN w:val="0"/>
              <w:spacing w:before="0" w:after="0" w:line="240" w:lineRule="auto"/>
              <w:ind w:right="0" w:rightChars="0"/>
              <w:jc w:val="both"/>
              <w:rPr>
                <w:rFonts w:hint="eastAsia" w:ascii="微软雅黑" w:hAnsi="微软雅黑" w:eastAsia="微软雅黑" w:cs="微软雅黑"/>
                <w:b/>
                <w:bCs/>
                <w:sz w:val="24"/>
                <w:szCs w:val="24"/>
                <w:vertAlign w:val="baseline"/>
                <w:lang w:val="en-US" w:eastAsia="zh-CN" w:bidi="zh-CN"/>
              </w:rPr>
            </w:pPr>
            <w:r>
              <w:rPr>
                <w:rFonts w:ascii="宋体" w:hAnsi="宋体" w:eastAsia="宋体" w:cs="宋体"/>
                <w:sz w:val="24"/>
                <w:szCs w:val="24"/>
              </w:rPr>
              <w:t>Hb 标准品工作液</w:t>
            </w:r>
          </w:p>
        </w:tc>
        <w:tc>
          <w:tcPr>
            <w:tcW w:w="2235" w:type="dxa"/>
          </w:tcPr>
          <w:p>
            <w:pPr>
              <w:widowControl w:val="0"/>
              <w:numPr>
                <w:ilvl w:val="0"/>
                <w:numId w:val="0"/>
              </w:numPr>
              <w:autoSpaceDE w:val="0"/>
              <w:autoSpaceDN w:val="0"/>
              <w:spacing w:before="0" w:after="0" w:line="240" w:lineRule="auto"/>
              <w:ind w:right="0" w:rightChars="0"/>
              <w:jc w:val="both"/>
              <w:rPr>
                <w:rFonts w:hint="default" w:ascii="微软雅黑" w:hAnsi="微软雅黑" w:eastAsia="微软雅黑" w:cs="微软雅黑"/>
                <w:b/>
                <w:bCs/>
                <w:sz w:val="24"/>
                <w:szCs w:val="24"/>
                <w:vertAlign w:val="baseline"/>
                <w:lang w:val="en-US" w:eastAsia="zh-CN" w:bidi="zh-CN"/>
              </w:rPr>
            </w:pPr>
            <w:r>
              <w:rPr>
                <w:rFonts w:hint="eastAsia" w:ascii="微软雅黑" w:hAnsi="微软雅黑" w:eastAsia="微软雅黑" w:cs="微软雅黑"/>
                <w:b/>
                <w:bCs/>
                <w:sz w:val="24"/>
                <w:szCs w:val="24"/>
                <w:vertAlign w:val="baseline"/>
                <w:lang w:val="en-US" w:eastAsia="zh-CN" w:bidi="zh-CN"/>
              </w:rPr>
              <w:t>-</w:t>
            </w:r>
          </w:p>
        </w:tc>
        <w:tc>
          <w:tcPr>
            <w:tcW w:w="2190" w:type="dxa"/>
          </w:tcPr>
          <w:p>
            <w:pPr>
              <w:widowControl w:val="0"/>
              <w:numPr>
                <w:ilvl w:val="0"/>
                <w:numId w:val="0"/>
              </w:numPr>
              <w:autoSpaceDE w:val="0"/>
              <w:autoSpaceDN w:val="0"/>
              <w:spacing w:before="0" w:after="0" w:line="240" w:lineRule="auto"/>
              <w:ind w:right="0" w:rightChars="0"/>
              <w:jc w:val="both"/>
              <w:rPr>
                <w:rFonts w:hint="eastAsia" w:ascii="微软雅黑" w:hAnsi="微软雅黑" w:eastAsia="微软雅黑" w:cs="微软雅黑"/>
                <w:b/>
                <w:bCs/>
                <w:sz w:val="24"/>
                <w:szCs w:val="24"/>
                <w:vertAlign w:val="baseline"/>
                <w:lang w:val="en-US" w:eastAsia="zh-CN" w:bidi="zh-CN"/>
              </w:rPr>
            </w:pPr>
            <w:r>
              <w:rPr>
                <w:rFonts w:ascii="宋体" w:hAnsi="宋体" w:eastAsia="宋体" w:cs="宋体"/>
                <w:sz w:val="24"/>
                <w:szCs w:val="24"/>
              </w:rPr>
              <w:t>0.02</w:t>
            </w:r>
          </w:p>
        </w:tc>
        <w:tc>
          <w:tcPr>
            <w:tcW w:w="2175" w:type="dxa"/>
          </w:tcPr>
          <w:p>
            <w:pPr>
              <w:widowControl w:val="0"/>
              <w:numPr>
                <w:ilvl w:val="0"/>
                <w:numId w:val="0"/>
              </w:numPr>
              <w:autoSpaceDE w:val="0"/>
              <w:autoSpaceDN w:val="0"/>
              <w:spacing w:before="0" w:after="0" w:line="240" w:lineRule="auto"/>
              <w:ind w:right="0" w:rightChars="0"/>
              <w:jc w:val="both"/>
              <w:rPr>
                <w:rFonts w:hint="default" w:ascii="微软雅黑" w:hAnsi="微软雅黑" w:eastAsia="微软雅黑" w:cs="微软雅黑"/>
                <w:b/>
                <w:bCs/>
                <w:sz w:val="24"/>
                <w:szCs w:val="24"/>
                <w:vertAlign w:val="baseline"/>
                <w:lang w:val="en-US" w:eastAsia="zh-CN" w:bidi="zh-CN"/>
              </w:rPr>
            </w:pPr>
            <w:r>
              <w:rPr>
                <w:rFonts w:hint="eastAsia" w:ascii="微软雅黑" w:hAnsi="微软雅黑" w:eastAsia="微软雅黑" w:cs="微软雅黑"/>
                <w:b/>
                <w:bCs/>
                <w:sz w:val="24"/>
                <w:szCs w:val="24"/>
                <w:vertAlign w:val="baseline"/>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616" w:type="dxa"/>
          </w:tcPr>
          <w:p>
            <w:pPr>
              <w:widowControl w:val="0"/>
              <w:numPr>
                <w:ilvl w:val="0"/>
                <w:numId w:val="0"/>
              </w:numPr>
              <w:autoSpaceDE w:val="0"/>
              <w:autoSpaceDN w:val="0"/>
              <w:spacing w:before="0" w:after="0" w:line="240" w:lineRule="auto"/>
              <w:ind w:right="0" w:rightChars="0"/>
              <w:jc w:val="both"/>
              <w:rPr>
                <w:rFonts w:hint="eastAsia" w:ascii="微软雅黑" w:hAnsi="微软雅黑" w:eastAsia="微软雅黑" w:cs="微软雅黑"/>
                <w:b/>
                <w:bCs/>
                <w:sz w:val="24"/>
                <w:szCs w:val="24"/>
                <w:vertAlign w:val="baseline"/>
                <w:lang w:val="en-US" w:eastAsia="zh-CN" w:bidi="zh-CN"/>
              </w:rPr>
            </w:pPr>
            <w:r>
              <w:rPr>
                <w:rFonts w:ascii="宋体" w:hAnsi="宋体" w:eastAsia="宋体" w:cs="宋体"/>
                <w:sz w:val="24"/>
                <w:szCs w:val="24"/>
              </w:rPr>
              <w:t>待测样品</w:t>
            </w:r>
          </w:p>
        </w:tc>
        <w:tc>
          <w:tcPr>
            <w:tcW w:w="2235" w:type="dxa"/>
          </w:tcPr>
          <w:p>
            <w:pPr>
              <w:widowControl w:val="0"/>
              <w:numPr>
                <w:ilvl w:val="0"/>
                <w:numId w:val="0"/>
              </w:numPr>
              <w:autoSpaceDE w:val="0"/>
              <w:autoSpaceDN w:val="0"/>
              <w:spacing w:before="0" w:after="0" w:line="240" w:lineRule="auto"/>
              <w:ind w:right="0" w:rightChars="0"/>
              <w:jc w:val="both"/>
              <w:rPr>
                <w:rFonts w:hint="default" w:ascii="微软雅黑" w:hAnsi="微软雅黑" w:eastAsia="微软雅黑" w:cs="微软雅黑"/>
                <w:b/>
                <w:bCs/>
                <w:sz w:val="24"/>
                <w:szCs w:val="24"/>
                <w:vertAlign w:val="baseline"/>
                <w:lang w:val="en-US" w:eastAsia="zh-CN" w:bidi="zh-CN"/>
              </w:rPr>
            </w:pPr>
            <w:r>
              <w:rPr>
                <w:rFonts w:hint="eastAsia" w:ascii="微软雅黑" w:hAnsi="微软雅黑" w:eastAsia="微软雅黑" w:cs="微软雅黑"/>
                <w:b/>
                <w:bCs/>
                <w:sz w:val="24"/>
                <w:szCs w:val="24"/>
                <w:vertAlign w:val="baseline"/>
                <w:lang w:val="en-US" w:eastAsia="zh-CN" w:bidi="zh-CN"/>
              </w:rPr>
              <w:t>-</w:t>
            </w:r>
          </w:p>
        </w:tc>
        <w:tc>
          <w:tcPr>
            <w:tcW w:w="2190" w:type="dxa"/>
          </w:tcPr>
          <w:p>
            <w:pPr>
              <w:widowControl w:val="0"/>
              <w:numPr>
                <w:ilvl w:val="0"/>
                <w:numId w:val="0"/>
              </w:numPr>
              <w:autoSpaceDE w:val="0"/>
              <w:autoSpaceDN w:val="0"/>
              <w:spacing w:before="0" w:after="0" w:line="240" w:lineRule="auto"/>
              <w:ind w:right="0" w:rightChars="0"/>
              <w:jc w:val="both"/>
              <w:rPr>
                <w:rFonts w:hint="default" w:ascii="微软雅黑" w:hAnsi="微软雅黑" w:eastAsia="微软雅黑" w:cs="微软雅黑"/>
                <w:b/>
                <w:bCs/>
                <w:sz w:val="24"/>
                <w:szCs w:val="24"/>
                <w:vertAlign w:val="baseline"/>
                <w:lang w:val="en-US" w:eastAsia="zh-CN" w:bidi="zh-CN"/>
              </w:rPr>
            </w:pPr>
            <w:r>
              <w:rPr>
                <w:rFonts w:hint="eastAsia" w:ascii="微软雅黑" w:hAnsi="微软雅黑" w:eastAsia="微软雅黑" w:cs="微软雅黑"/>
                <w:b/>
                <w:bCs/>
                <w:sz w:val="24"/>
                <w:szCs w:val="24"/>
                <w:vertAlign w:val="baseline"/>
                <w:lang w:val="en-US" w:eastAsia="zh-CN" w:bidi="zh-CN"/>
              </w:rPr>
              <w:t>-</w:t>
            </w:r>
          </w:p>
        </w:tc>
        <w:tc>
          <w:tcPr>
            <w:tcW w:w="2175" w:type="dxa"/>
          </w:tcPr>
          <w:p>
            <w:pPr>
              <w:widowControl w:val="0"/>
              <w:numPr>
                <w:ilvl w:val="0"/>
                <w:numId w:val="0"/>
              </w:numPr>
              <w:autoSpaceDE w:val="0"/>
              <w:autoSpaceDN w:val="0"/>
              <w:spacing w:before="0" w:after="0" w:line="240" w:lineRule="auto"/>
              <w:ind w:right="0" w:rightChars="0"/>
              <w:jc w:val="both"/>
              <w:rPr>
                <w:rFonts w:hint="eastAsia" w:ascii="微软雅黑" w:hAnsi="微软雅黑" w:eastAsia="微软雅黑" w:cs="微软雅黑"/>
                <w:b/>
                <w:bCs/>
                <w:sz w:val="24"/>
                <w:szCs w:val="24"/>
                <w:vertAlign w:val="baseline"/>
                <w:lang w:val="en-US" w:eastAsia="zh-CN" w:bidi="zh-CN"/>
              </w:rPr>
            </w:pPr>
            <w:r>
              <w:rPr>
                <w:rFonts w:ascii="宋体" w:hAnsi="宋体" w:eastAsia="宋体" w:cs="宋体"/>
                <w:sz w:val="24"/>
                <w:szCs w:val="24"/>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616" w:type="dxa"/>
          </w:tcPr>
          <w:p>
            <w:pPr>
              <w:widowControl w:val="0"/>
              <w:numPr>
                <w:ilvl w:val="0"/>
                <w:numId w:val="0"/>
              </w:numPr>
              <w:autoSpaceDE w:val="0"/>
              <w:autoSpaceDN w:val="0"/>
              <w:spacing w:before="0" w:after="0" w:line="240" w:lineRule="auto"/>
              <w:ind w:right="0" w:rightChars="0"/>
              <w:jc w:val="both"/>
              <w:rPr>
                <w:rFonts w:hint="eastAsia" w:ascii="微软雅黑" w:hAnsi="微软雅黑" w:eastAsia="微软雅黑" w:cs="微软雅黑"/>
                <w:b/>
                <w:bCs/>
                <w:sz w:val="24"/>
                <w:szCs w:val="24"/>
                <w:vertAlign w:val="baseline"/>
                <w:lang w:val="en-US" w:eastAsia="zh-CN" w:bidi="zh-CN"/>
              </w:rPr>
            </w:pPr>
            <w:r>
              <w:rPr>
                <w:rFonts w:ascii="宋体" w:hAnsi="宋体" w:eastAsia="宋体" w:cs="宋体"/>
                <w:sz w:val="24"/>
                <w:szCs w:val="24"/>
              </w:rPr>
              <w:t>O-tolidine Solution</w:t>
            </w:r>
          </w:p>
        </w:tc>
        <w:tc>
          <w:tcPr>
            <w:tcW w:w="2235" w:type="dxa"/>
          </w:tcPr>
          <w:p>
            <w:pPr>
              <w:widowControl w:val="0"/>
              <w:numPr>
                <w:ilvl w:val="0"/>
                <w:numId w:val="0"/>
              </w:numPr>
              <w:autoSpaceDE w:val="0"/>
              <w:autoSpaceDN w:val="0"/>
              <w:spacing w:before="0" w:after="0" w:line="240" w:lineRule="auto"/>
              <w:ind w:left="0" w:leftChars="0" w:right="0" w:rightChars="0"/>
              <w:jc w:val="both"/>
              <w:rPr>
                <w:rFonts w:hint="eastAsia" w:ascii="微软雅黑" w:hAnsi="微软雅黑" w:eastAsia="微软雅黑" w:cs="微软雅黑"/>
                <w:b/>
                <w:bCs/>
                <w:sz w:val="24"/>
                <w:szCs w:val="24"/>
                <w:vertAlign w:val="baseline"/>
                <w:lang w:val="en-US" w:eastAsia="zh-CN" w:bidi="zh-CN"/>
              </w:rPr>
            </w:pPr>
            <w:r>
              <w:rPr>
                <w:rFonts w:ascii="宋体" w:hAnsi="宋体" w:eastAsia="宋体" w:cs="宋体"/>
                <w:sz w:val="24"/>
                <w:szCs w:val="24"/>
              </w:rPr>
              <w:t>0.2</w:t>
            </w:r>
          </w:p>
        </w:tc>
        <w:tc>
          <w:tcPr>
            <w:tcW w:w="2190" w:type="dxa"/>
          </w:tcPr>
          <w:p>
            <w:pPr>
              <w:widowControl w:val="0"/>
              <w:numPr>
                <w:ilvl w:val="0"/>
                <w:numId w:val="0"/>
              </w:numPr>
              <w:autoSpaceDE w:val="0"/>
              <w:autoSpaceDN w:val="0"/>
              <w:spacing w:before="0" w:after="0" w:line="240" w:lineRule="auto"/>
              <w:ind w:left="0" w:leftChars="0" w:right="0" w:rightChars="0"/>
              <w:jc w:val="both"/>
              <w:rPr>
                <w:rFonts w:hint="eastAsia" w:ascii="微软雅黑" w:hAnsi="微软雅黑" w:eastAsia="微软雅黑" w:cs="微软雅黑"/>
                <w:b/>
                <w:bCs/>
                <w:sz w:val="24"/>
                <w:szCs w:val="24"/>
                <w:vertAlign w:val="baseline"/>
                <w:lang w:val="en-US" w:eastAsia="zh-CN" w:bidi="zh-CN"/>
              </w:rPr>
            </w:pPr>
            <w:r>
              <w:rPr>
                <w:rFonts w:ascii="宋体" w:hAnsi="宋体" w:eastAsia="宋体" w:cs="宋体"/>
                <w:sz w:val="24"/>
                <w:szCs w:val="24"/>
              </w:rPr>
              <w:t>0.2</w:t>
            </w:r>
          </w:p>
        </w:tc>
        <w:tc>
          <w:tcPr>
            <w:tcW w:w="2175" w:type="dxa"/>
          </w:tcPr>
          <w:p>
            <w:pPr>
              <w:widowControl w:val="0"/>
              <w:numPr>
                <w:ilvl w:val="0"/>
                <w:numId w:val="0"/>
              </w:numPr>
              <w:autoSpaceDE w:val="0"/>
              <w:autoSpaceDN w:val="0"/>
              <w:spacing w:before="0" w:after="0" w:line="240" w:lineRule="auto"/>
              <w:ind w:left="0" w:leftChars="0" w:right="0" w:rightChars="0"/>
              <w:jc w:val="both"/>
              <w:rPr>
                <w:rFonts w:hint="eastAsia" w:ascii="微软雅黑" w:hAnsi="微软雅黑" w:eastAsia="微软雅黑" w:cs="微软雅黑"/>
                <w:b/>
                <w:bCs/>
                <w:sz w:val="24"/>
                <w:szCs w:val="24"/>
                <w:vertAlign w:val="baseline"/>
                <w:lang w:val="en-US" w:eastAsia="zh-CN" w:bidi="zh-CN"/>
              </w:rPr>
            </w:pPr>
            <w:r>
              <w:rPr>
                <w:rFonts w:ascii="宋体" w:hAnsi="宋体" w:eastAsia="宋体" w:cs="宋体"/>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616" w:type="dxa"/>
          </w:tcPr>
          <w:p>
            <w:pPr>
              <w:widowControl w:val="0"/>
              <w:numPr>
                <w:ilvl w:val="0"/>
                <w:numId w:val="0"/>
              </w:numPr>
              <w:autoSpaceDE w:val="0"/>
              <w:autoSpaceDN w:val="0"/>
              <w:spacing w:before="0" w:after="0" w:line="240" w:lineRule="auto"/>
              <w:ind w:right="0" w:rightChars="0"/>
              <w:jc w:val="both"/>
              <w:rPr>
                <w:rFonts w:hint="eastAsia" w:ascii="微软雅黑" w:hAnsi="微软雅黑" w:eastAsia="微软雅黑" w:cs="微软雅黑"/>
                <w:b/>
                <w:bCs/>
                <w:sz w:val="24"/>
                <w:szCs w:val="24"/>
                <w:vertAlign w:val="baseline"/>
                <w:lang w:val="en-US" w:eastAsia="zh-CN" w:bidi="zh-CN"/>
              </w:rPr>
            </w:pPr>
            <w:r>
              <w:rPr>
                <w:rFonts w:ascii="宋体" w:hAnsi="宋体" w:eastAsia="宋体" w:cs="宋体"/>
                <w:sz w:val="24"/>
                <w:szCs w:val="24"/>
              </w:rPr>
              <w:t>氧化剂</w:t>
            </w:r>
          </w:p>
        </w:tc>
        <w:tc>
          <w:tcPr>
            <w:tcW w:w="2235" w:type="dxa"/>
          </w:tcPr>
          <w:p>
            <w:pPr>
              <w:widowControl w:val="0"/>
              <w:numPr>
                <w:ilvl w:val="0"/>
                <w:numId w:val="0"/>
              </w:numPr>
              <w:autoSpaceDE w:val="0"/>
              <w:autoSpaceDN w:val="0"/>
              <w:spacing w:before="0" w:after="0" w:line="240" w:lineRule="auto"/>
              <w:ind w:left="0" w:leftChars="0" w:right="0" w:rightChars="0"/>
              <w:jc w:val="both"/>
              <w:rPr>
                <w:rFonts w:hint="eastAsia" w:ascii="微软雅黑" w:hAnsi="微软雅黑" w:eastAsia="微软雅黑" w:cs="微软雅黑"/>
                <w:b/>
                <w:bCs/>
                <w:sz w:val="24"/>
                <w:szCs w:val="24"/>
                <w:vertAlign w:val="baseline"/>
                <w:lang w:val="en-US" w:eastAsia="zh-CN" w:bidi="zh-CN"/>
              </w:rPr>
            </w:pPr>
            <w:r>
              <w:rPr>
                <w:rFonts w:ascii="宋体" w:hAnsi="宋体" w:eastAsia="宋体" w:cs="宋体"/>
                <w:sz w:val="24"/>
                <w:szCs w:val="24"/>
              </w:rPr>
              <w:t>0.2</w:t>
            </w:r>
          </w:p>
        </w:tc>
        <w:tc>
          <w:tcPr>
            <w:tcW w:w="2190" w:type="dxa"/>
          </w:tcPr>
          <w:p>
            <w:pPr>
              <w:widowControl w:val="0"/>
              <w:numPr>
                <w:ilvl w:val="0"/>
                <w:numId w:val="0"/>
              </w:numPr>
              <w:autoSpaceDE w:val="0"/>
              <w:autoSpaceDN w:val="0"/>
              <w:spacing w:before="0" w:after="0" w:line="240" w:lineRule="auto"/>
              <w:ind w:left="0" w:leftChars="0" w:right="0" w:rightChars="0"/>
              <w:jc w:val="both"/>
              <w:rPr>
                <w:rFonts w:hint="eastAsia" w:ascii="微软雅黑" w:hAnsi="微软雅黑" w:eastAsia="微软雅黑" w:cs="微软雅黑"/>
                <w:b/>
                <w:bCs/>
                <w:sz w:val="24"/>
                <w:szCs w:val="24"/>
                <w:vertAlign w:val="baseline"/>
                <w:lang w:val="en-US" w:eastAsia="zh-CN" w:bidi="zh-CN"/>
              </w:rPr>
            </w:pPr>
            <w:r>
              <w:rPr>
                <w:rFonts w:ascii="宋体" w:hAnsi="宋体" w:eastAsia="宋体" w:cs="宋体"/>
                <w:sz w:val="24"/>
                <w:szCs w:val="24"/>
              </w:rPr>
              <w:t>0.2</w:t>
            </w:r>
          </w:p>
        </w:tc>
        <w:tc>
          <w:tcPr>
            <w:tcW w:w="2175" w:type="dxa"/>
          </w:tcPr>
          <w:p>
            <w:pPr>
              <w:widowControl w:val="0"/>
              <w:numPr>
                <w:ilvl w:val="0"/>
                <w:numId w:val="0"/>
              </w:numPr>
              <w:autoSpaceDE w:val="0"/>
              <w:autoSpaceDN w:val="0"/>
              <w:spacing w:before="0" w:after="0" w:line="240" w:lineRule="auto"/>
              <w:ind w:left="0" w:leftChars="0" w:right="0" w:rightChars="0"/>
              <w:jc w:val="both"/>
              <w:rPr>
                <w:rFonts w:hint="eastAsia" w:ascii="微软雅黑" w:hAnsi="微软雅黑" w:eastAsia="微软雅黑" w:cs="微软雅黑"/>
                <w:b/>
                <w:bCs/>
                <w:sz w:val="24"/>
                <w:szCs w:val="24"/>
                <w:vertAlign w:val="baseline"/>
                <w:lang w:val="en-US" w:eastAsia="zh-CN" w:bidi="zh-CN"/>
              </w:rPr>
            </w:pPr>
            <w:r>
              <w:rPr>
                <w:rFonts w:ascii="宋体" w:hAnsi="宋体" w:eastAsia="宋体" w:cs="宋体"/>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16" w:type="dxa"/>
            <w:gridSpan w:val="4"/>
          </w:tcPr>
          <w:p>
            <w:pPr>
              <w:widowControl w:val="0"/>
              <w:numPr>
                <w:ilvl w:val="0"/>
                <w:numId w:val="0"/>
              </w:numPr>
              <w:autoSpaceDE w:val="0"/>
              <w:autoSpaceDN w:val="0"/>
              <w:spacing w:before="0" w:after="0" w:line="240" w:lineRule="auto"/>
              <w:ind w:right="0" w:rightChars="0"/>
              <w:jc w:val="both"/>
              <w:rPr>
                <w:rFonts w:hint="eastAsia" w:ascii="微软雅黑" w:hAnsi="微软雅黑" w:eastAsia="微软雅黑" w:cs="微软雅黑"/>
                <w:b/>
                <w:bCs/>
                <w:sz w:val="24"/>
                <w:szCs w:val="24"/>
                <w:vertAlign w:val="baseline"/>
                <w:lang w:val="en-US" w:eastAsia="zh-CN" w:bidi="zh-CN"/>
              </w:rPr>
            </w:pPr>
            <w:r>
              <w:rPr>
                <w:rFonts w:ascii="宋体" w:hAnsi="宋体" w:eastAsia="宋体" w:cs="宋体"/>
                <w:sz w:val="24"/>
                <w:szCs w:val="24"/>
              </w:rPr>
              <w:t>充分混匀，室温放置 10min。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616" w:type="dxa"/>
          </w:tcPr>
          <w:p>
            <w:pPr>
              <w:widowControl w:val="0"/>
              <w:numPr>
                <w:ilvl w:val="0"/>
                <w:numId w:val="0"/>
              </w:numPr>
              <w:autoSpaceDE w:val="0"/>
              <w:autoSpaceDN w:val="0"/>
              <w:spacing w:before="0" w:after="0" w:line="240" w:lineRule="auto"/>
              <w:ind w:right="0" w:rightChars="0"/>
              <w:jc w:val="both"/>
              <w:rPr>
                <w:rFonts w:hint="eastAsia" w:ascii="微软雅黑" w:hAnsi="微软雅黑" w:eastAsia="微软雅黑" w:cs="微软雅黑"/>
                <w:b/>
                <w:bCs/>
                <w:sz w:val="24"/>
                <w:szCs w:val="24"/>
                <w:vertAlign w:val="baseline"/>
                <w:lang w:val="en-US" w:eastAsia="zh-CN" w:bidi="zh-CN"/>
              </w:rPr>
            </w:pPr>
            <w:r>
              <w:rPr>
                <w:rFonts w:ascii="宋体" w:hAnsi="宋体" w:eastAsia="宋体" w:cs="宋体"/>
                <w:sz w:val="24"/>
                <w:szCs w:val="24"/>
              </w:rPr>
              <w:t>Acid Assay Buffer</w:t>
            </w:r>
          </w:p>
        </w:tc>
        <w:tc>
          <w:tcPr>
            <w:tcW w:w="2235" w:type="dxa"/>
          </w:tcPr>
          <w:p>
            <w:pPr>
              <w:widowControl w:val="0"/>
              <w:numPr>
                <w:ilvl w:val="0"/>
                <w:numId w:val="0"/>
              </w:numPr>
              <w:autoSpaceDE w:val="0"/>
              <w:autoSpaceDN w:val="0"/>
              <w:spacing w:before="0" w:after="0" w:line="240" w:lineRule="auto"/>
              <w:ind w:left="0" w:leftChars="0" w:right="0" w:rightChars="0"/>
              <w:jc w:val="both"/>
              <w:rPr>
                <w:rFonts w:hint="eastAsia" w:ascii="微软雅黑" w:hAnsi="微软雅黑" w:eastAsia="微软雅黑" w:cs="微软雅黑"/>
                <w:b/>
                <w:bCs/>
                <w:sz w:val="24"/>
                <w:szCs w:val="24"/>
                <w:vertAlign w:val="baseline"/>
                <w:lang w:val="en-US" w:eastAsia="zh-CN" w:bidi="zh-CN"/>
              </w:rPr>
            </w:pPr>
            <w:r>
              <w:rPr>
                <w:rFonts w:ascii="宋体" w:hAnsi="宋体" w:eastAsia="宋体" w:cs="宋体"/>
                <w:sz w:val="24"/>
                <w:szCs w:val="24"/>
              </w:rPr>
              <w:t>1</w:t>
            </w:r>
          </w:p>
        </w:tc>
        <w:tc>
          <w:tcPr>
            <w:tcW w:w="2190" w:type="dxa"/>
          </w:tcPr>
          <w:p>
            <w:pPr>
              <w:widowControl w:val="0"/>
              <w:numPr>
                <w:ilvl w:val="0"/>
                <w:numId w:val="0"/>
              </w:numPr>
              <w:autoSpaceDE w:val="0"/>
              <w:autoSpaceDN w:val="0"/>
              <w:spacing w:before="0" w:after="0" w:line="240" w:lineRule="auto"/>
              <w:ind w:left="0" w:leftChars="0" w:right="0" w:rightChars="0"/>
              <w:jc w:val="both"/>
              <w:rPr>
                <w:rFonts w:hint="eastAsia" w:ascii="微软雅黑" w:hAnsi="微软雅黑" w:eastAsia="微软雅黑" w:cs="微软雅黑"/>
                <w:b/>
                <w:bCs/>
                <w:sz w:val="24"/>
                <w:szCs w:val="24"/>
                <w:vertAlign w:val="baseline"/>
                <w:lang w:val="en-US" w:eastAsia="zh-CN" w:bidi="zh-CN"/>
              </w:rPr>
            </w:pPr>
            <w:r>
              <w:rPr>
                <w:rFonts w:ascii="宋体" w:hAnsi="宋体" w:eastAsia="宋体" w:cs="宋体"/>
                <w:sz w:val="24"/>
                <w:szCs w:val="24"/>
              </w:rPr>
              <w:t>1</w:t>
            </w:r>
          </w:p>
        </w:tc>
        <w:tc>
          <w:tcPr>
            <w:tcW w:w="2175" w:type="dxa"/>
          </w:tcPr>
          <w:p>
            <w:pPr>
              <w:widowControl w:val="0"/>
              <w:numPr>
                <w:ilvl w:val="0"/>
                <w:numId w:val="0"/>
              </w:numPr>
              <w:autoSpaceDE w:val="0"/>
              <w:autoSpaceDN w:val="0"/>
              <w:spacing w:before="0" w:after="0" w:line="240" w:lineRule="auto"/>
              <w:ind w:left="0" w:leftChars="0" w:right="0" w:rightChars="0"/>
              <w:jc w:val="both"/>
              <w:rPr>
                <w:rFonts w:hint="eastAsia" w:ascii="微软雅黑" w:hAnsi="微软雅黑" w:eastAsia="微软雅黑" w:cs="微软雅黑"/>
                <w:b/>
                <w:bCs/>
                <w:sz w:val="24"/>
                <w:szCs w:val="24"/>
                <w:vertAlign w:val="baseline"/>
                <w:lang w:val="en-US" w:eastAsia="zh-CN" w:bidi="zh-CN"/>
              </w:rPr>
            </w:pPr>
            <w:r>
              <w:rPr>
                <w:rFonts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616" w:type="dxa"/>
          </w:tcPr>
          <w:p>
            <w:pPr>
              <w:widowControl w:val="0"/>
              <w:numPr>
                <w:ilvl w:val="0"/>
                <w:numId w:val="0"/>
              </w:numPr>
              <w:autoSpaceDE w:val="0"/>
              <w:autoSpaceDN w:val="0"/>
              <w:spacing w:before="0" w:after="0" w:line="240" w:lineRule="auto"/>
              <w:ind w:right="0" w:rightChars="0"/>
              <w:jc w:val="both"/>
              <w:rPr>
                <w:rFonts w:hint="eastAsia" w:ascii="微软雅黑" w:hAnsi="微软雅黑" w:eastAsia="微软雅黑" w:cs="微软雅黑"/>
                <w:b/>
                <w:bCs/>
                <w:sz w:val="24"/>
                <w:szCs w:val="24"/>
                <w:vertAlign w:val="baseline"/>
                <w:lang w:val="en-US" w:eastAsia="zh-CN" w:bidi="zh-CN"/>
              </w:rPr>
            </w:pPr>
            <w:r>
              <w:rPr>
                <w:rFonts w:ascii="宋体" w:hAnsi="宋体" w:eastAsia="宋体" w:cs="宋体"/>
                <w:sz w:val="24"/>
                <w:szCs w:val="24"/>
              </w:rPr>
              <w:t>蒸馏水</w:t>
            </w:r>
          </w:p>
        </w:tc>
        <w:tc>
          <w:tcPr>
            <w:tcW w:w="2235" w:type="dxa"/>
          </w:tcPr>
          <w:p>
            <w:pPr>
              <w:widowControl w:val="0"/>
              <w:numPr>
                <w:ilvl w:val="0"/>
                <w:numId w:val="0"/>
              </w:numPr>
              <w:autoSpaceDE w:val="0"/>
              <w:autoSpaceDN w:val="0"/>
              <w:spacing w:before="0" w:after="0" w:line="240" w:lineRule="auto"/>
              <w:ind w:left="0" w:leftChars="0" w:right="0" w:rightChars="0"/>
              <w:jc w:val="both"/>
              <w:rPr>
                <w:rFonts w:hint="eastAsia" w:ascii="微软雅黑" w:hAnsi="微软雅黑" w:eastAsia="微软雅黑" w:cs="微软雅黑"/>
                <w:b/>
                <w:bCs/>
                <w:sz w:val="24"/>
                <w:szCs w:val="24"/>
                <w:vertAlign w:val="baseline"/>
                <w:lang w:val="en-US" w:eastAsia="zh-CN" w:bidi="zh-CN"/>
              </w:rPr>
            </w:pPr>
            <w:r>
              <w:rPr>
                <w:rFonts w:ascii="宋体" w:hAnsi="宋体" w:eastAsia="宋体" w:cs="宋体"/>
                <w:sz w:val="24"/>
                <w:szCs w:val="24"/>
              </w:rPr>
              <w:t>1</w:t>
            </w:r>
          </w:p>
        </w:tc>
        <w:tc>
          <w:tcPr>
            <w:tcW w:w="2190" w:type="dxa"/>
          </w:tcPr>
          <w:p>
            <w:pPr>
              <w:widowControl w:val="0"/>
              <w:numPr>
                <w:ilvl w:val="0"/>
                <w:numId w:val="0"/>
              </w:numPr>
              <w:autoSpaceDE w:val="0"/>
              <w:autoSpaceDN w:val="0"/>
              <w:spacing w:before="0" w:after="0" w:line="240" w:lineRule="auto"/>
              <w:ind w:left="0" w:leftChars="0" w:right="0" w:rightChars="0"/>
              <w:jc w:val="both"/>
              <w:rPr>
                <w:rFonts w:hint="eastAsia" w:ascii="微软雅黑" w:hAnsi="微软雅黑" w:eastAsia="微软雅黑" w:cs="微软雅黑"/>
                <w:b/>
                <w:bCs/>
                <w:sz w:val="24"/>
                <w:szCs w:val="24"/>
                <w:vertAlign w:val="baseline"/>
                <w:lang w:val="en-US" w:eastAsia="zh-CN" w:bidi="zh-CN"/>
              </w:rPr>
            </w:pPr>
            <w:r>
              <w:rPr>
                <w:rFonts w:ascii="宋体" w:hAnsi="宋体" w:eastAsia="宋体" w:cs="宋体"/>
                <w:sz w:val="24"/>
                <w:szCs w:val="24"/>
              </w:rPr>
              <w:t>1</w:t>
            </w:r>
          </w:p>
        </w:tc>
        <w:tc>
          <w:tcPr>
            <w:tcW w:w="2175" w:type="dxa"/>
          </w:tcPr>
          <w:p>
            <w:pPr>
              <w:widowControl w:val="0"/>
              <w:numPr>
                <w:ilvl w:val="0"/>
                <w:numId w:val="0"/>
              </w:numPr>
              <w:autoSpaceDE w:val="0"/>
              <w:autoSpaceDN w:val="0"/>
              <w:spacing w:before="0" w:after="0" w:line="240" w:lineRule="auto"/>
              <w:ind w:left="0" w:leftChars="0" w:right="0" w:rightChars="0"/>
              <w:jc w:val="both"/>
              <w:rPr>
                <w:rFonts w:hint="eastAsia" w:ascii="微软雅黑" w:hAnsi="微软雅黑" w:eastAsia="微软雅黑" w:cs="微软雅黑"/>
                <w:b/>
                <w:bCs/>
                <w:sz w:val="24"/>
                <w:szCs w:val="24"/>
                <w:vertAlign w:val="baseline"/>
                <w:lang w:val="en-US" w:eastAsia="zh-CN" w:bidi="zh-CN"/>
              </w:rPr>
            </w:pPr>
            <w:r>
              <w:rPr>
                <w:rFonts w:ascii="宋体" w:hAnsi="宋体" w:eastAsia="宋体" w:cs="宋体"/>
                <w:sz w:val="24"/>
                <w:szCs w:val="24"/>
              </w:rPr>
              <w:t>1</w:t>
            </w:r>
          </w:p>
        </w:tc>
      </w:tr>
    </w:tbl>
    <w:p>
      <w:pPr>
        <w:widowControl w:val="0"/>
        <w:numPr>
          <w:ilvl w:val="0"/>
          <w:numId w:val="1"/>
        </w:numPr>
        <w:autoSpaceDE w:val="0"/>
        <w:autoSpaceDN w:val="0"/>
        <w:spacing w:before="0" w:after="0" w:line="240" w:lineRule="auto"/>
        <w:ind w:right="0" w:rightChars="0"/>
        <w:jc w:val="both"/>
        <w:rPr>
          <w:rFonts w:ascii="宋体" w:hAnsi="宋体" w:eastAsia="宋体" w:cs="宋体"/>
          <w:sz w:val="24"/>
          <w:szCs w:val="24"/>
        </w:rPr>
      </w:pPr>
      <w:r>
        <w:rPr>
          <w:rFonts w:ascii="宋体" w:hAnsi="宋体" w:eastAsia="宋体" w:cs="宋体"/>
          <w:sz w:val="24"/>
          <w:szCs w:val="24"/>
        </w:rPr>
        <w:t>FHB 测定：空白调零，以分光光度计测定 435nm 处标准孔/管和测定孔/管的吸光度， 如果无法检测 435nm，亦可检测 425～450nm 范围内吸光度。</w:t>
      </w:r>
    </w:p>
    <w:p>
      <w:pPr>
        <w:widowControl w:val="0"/>
        <w:numPr>
          <w:numId w:val="0"/>
        </w:numPr>
        <w:autoSpaceDE w:val="0"/>
        <w:autoSpaceDN w:val="0"/>
        <w:spacing w:before="0" w:after="0" w:line="240" w:lineRule="auto"/>
        <w:ind w:right="0" w:rightChars="0"/>
        <w:jc w:val="both"/>
        <w:rPr>
          <w:rFonts w:hint="eastAsia" w:ascii="宋体" w:hAnsi="宋体" w:eastAsia="宋体" w:cs="宋体"/>
          <w:sz w:val="24"/>
          <w:szCs w:val="24"/>
          <w:lang w:val="en-US" w:eastAsia="zh-CN"/>
        </w:rPr>
      </w:pPr>
    </w:p>
    <w:p>
      <w:pPr>
        <w:widowControl w:val="0"/>
        <w:numPr>
          <w:ilvl w:val="0"/>
          <w:numId w:val="0"/>
        </w:numPr>
        <w:autoSpaceDE w:val="0"/>
        <w:autoSpaceDN w:val="0"/>
        <w:spacing w:before="0" w:after="0" w:line="240" w:lineRule="auto"/>
        <w:ind w:right="0" w:rightChars="0"/>
        <w:jc w:val="both"/>
        <w:rPr>
          <w:rFonts w:hint="eastAsia" w:ascii="微软雅黑" w:hAnsi="微软雅黑" w:eastAsia="微软雅黑" w:cs="微软雅黑"/>
          <w:b/>
          <w:bCs/>
          <w:sz w:val="24"/>
          <w:szCs w:val="24"/>
          <w:lang w:val="en-US" w:eastAsia="zh-CN" w:bidi="zh-CN"/>
        </w:rPr>
      </w:pPr>
      <w:r>
        <w:rPr>
          <w:rFonts w:hint="eastAsia" w:ascii="微软雅黑" w:hAnsi="微软雅黑" w:eastAsia="微软雅黑" w:cs="微软雅黑"/>
          <w:b/>
          <w:bCs/>
          <w:sz w:val="24"/>
          <w:szCs w:val="24"/>
          <w:lang w:val="en-US" w:eastAsia="zh-CN" w:bidi="zh-CN"/>
        </w:rPr>
        <w:t xml:space="preserve">计算结果： </w:t>
      </w:r>
    </w:p>
    <w:p>
      <w:pPr>
        <w:widowControl w:val="0"/>
        <w:numPr>
          <w:numId w:val="0"/>
        </w:numPr>
        <w:autoSpaceDE w:val="0"/>
        <w:autoSpaceDN w:val="0"/>
        <w:spacing w:before="0" w:after="0" w:line="240" w:lineRule="auto"/>
        <w:ind w:right="0" w:rightChars="0"/>
        <w:jc w:val="both"/>
        <w:rPr>
          <w:rFonts w:ascii="宋体" w:hAnsi="宋体" w:eastAsia="宋体" w:cs="宋体"/>
          <w:sz w:val="24"/>
          <w:szCs w:val="24"/>
        </w:rPr>
      </w:pPr>
      <w:r>
        <w:rPr>
          <w:rFonts w:ascii="宋体" w:hAnsi="宋体" w:eastAsia="宋体" w:cs="宋体"/>
          <w:sz w:val="24"/>
          <w:szCs w:val="24"/>
        </w:rPr>
        <w:t>血浆游离血红蛋白(mg/L)=测定吸光度/标准吸光度×100(mg/L)，一般＜40mg/ml</w:t>
      </w:r>
    </w:p>
    <w:p>
      <w:pPr>
        <w:widowControl w:val="0"/>
        <w:numPr>
          <w:numId w:val="0"/>
        </w:numPr>
        <w:autoSpaceDE w:val="0"/>
        <w:autoSpaceDN w:val="0"/>
        <w:spacing w:before="0" w:after="0" w:line="240" w:lineRule="auto"/>
        <w:ind w:right="0" w:rightChars="0"/>
        <w:jc w:val="both"/>
        <w:rPr>
          <w:rFonts w:hint="eastAsia" w:ascii="宋体" w:hAnsi="宋体" w:eastAsia="宋体" w:cs="宋体"/>
          <w:sz w:val="24"/>
          <w:szCs w:val="24"/>
          <w:lang w:val="en-US" w:eastAsia="zh-CN"/>
        </w:rPr>
      </w:pPr>
    </w:p>
    <w:p>
      <w:pPr>
        <w:pStyle w:val="4"/>
        <w:spacing w:before="119"/>
        <w:rPr>
          <w:rFonts w:hint="eastAsia" w:ascii="微软雅黑" w:hAnsi="微软雅黑" w:eastAsia="微软雅黑" w:cs="微软雅黑"/>
          <w:b/>
          <w:bCs/>
          <w:sz w:val="24"/>
          <w:szCs w:val="24"/>
          <w:lang w:val="en-US" w:eastAsia="zh-CN" w:bidi="zh-CN"/>
        </w:rPr>
      </w:pPr>
      <w:r>
        <w:rPr>
          <w:rFonts w:hint="eastAsia" w:ascii="微软雅黑" w:hAnsi="微软雅黑" w:eastAsia="微软雅黑" w:cs="微软雅黑"/>
          <w:b/>
          <w:bCs/>
          <w:sz w:val="24"/>
          <w:szCs w:val="24"/>
          <w:lang w:val="en-US" w:eastAsia="zh-CN" w:bidi="zh-CN"/>
        </w:rPr>
        <w:t>注意事项：</w:t>
      </w:r>
    </w:p>
    <w:p>
      <w:pPr>
        <w:numPr>
          <w:ilvl w:val="0"/>
          <w:numId w:val="2"/>
        </w:numPr>
        <w:rPr>
          <w:rFonts w:ascii="宋体" w:hAnsi="宋体" w:eastAsia="宋体" w:cs="宋体"/>
          <w:sz w:val="24"/>
          <w:szCs w:val="24"/>
        </w:rPr>
      </w:pPr>
      <w:r>
        <w:rPr>
          <w:rFonts w:ascii="宋体" w:hAnsi="宋体" w:eastAsia="宋体" w:cs="宋体"/>
          <w:sz w:val="24"/>
          <w:szCs w:val="24"/>
        </w:rPr>
        <w:t xml:space="preserve">Hb(1mg/ml)为市售的牛血红蛋白与生理盐水配制而成的，未用 HiCN 标定其浓度，可 能有一定误差，有特殊需求的可以自备相关标准品。 </w:t>
      </w:r>
    </w:p>
    <w:p>
      <w:pPr>
        <w:numPr>
          <w:ilvl w:val="0"/>
          <w:numId w:val="2"/>
        </w:numPr>
        <w:ind w:left="0" w:leftChars="0" w:right="0" w:rightChars="0" w:firstLine="0" w:firstLineChars="0"/>
        <w:rPr>
          <w:rFonts w:ascii="宋体" w:hAnsi="宋体" w:eastAsia="宋体" w:cs="宋体"/>
          <w:sz w:val="24"/>
          <w:szCs w:val="24"/>
        </w:rPr>
      </w:pPr>
      <w:r>
        <w:rPr>
          <w:rFonts w:ascii="宋体" w:hAnsi="宋体" w:eastAsia="宋体" w:cs="宋体"/>
          <w:sz w:val="24"/>
          <w:szCs w:val="24"/>
        </w:rPr>
        <w:t xml:space="preserve">Hb(1mg/ml)和标准品工作液(100μg/ml)均应 4℃保存，同时应避免污染。 </w:t>
      </w:r>
    </w:p>
    <w:p>
      <w:pPr>
        <w:numPr>
          <w:ilvl w:val="0"/>
          <w:numId w:val="2"/>
        </w:numPr>
        <w:ind w:left="0" w:leftChars="0" w:right="0" w:rightChars="0" w:firstLine="0" w:firstLineChars="0"/>
        <w:rPr>
          <w:rFonts w:ascii="宋体" w:hAnsi="宋体" w:eastAsia="宋体" w:cs="宋体"/>
          <w:sz w:val="24"/>
          <w:szCs w:val="24"/>
        </w:rPr>
      </w:pPr>
      <w:r>
        <w:rPr>
          <w:rFonts w:ascii="宋体" w:hAnsi="宋体" w:eastAsia="宋体" w:cs="宋体"/>
          <w:sz w:val="24"/>
          <w:szCs w:val="24"/>
        </w:rPr>
        <w:t xml:space="preserve">也可用酶标仪测定，但应根据酶标仪的最大检测体积进行调整。 </w:t>
      </w:r>
    </w:p>
    <w:p>
      <w:pPr>
        <w:numPr>
          <w:ilvl w:val="0"/>
          <w:numId w:val="2"/>
        </w:numPr>
        <w:ind w:left="0" w:leftChars="0" w:right="0" w:rightChars="0" w:firstLine="0" w:firstLineChars="0"/>
        <w:rPr>
          <w:rFonts w:ascii="宋体" w:hAnsi="宋体" w:eastAsia="宋体" w:cs="宋体"/>
          <w:sz w:val="24"/>
          <w:szCs w:val="24"/>
        </w:rPr>
      </w:pPr>
      <w:r>
        <w:rPr>
          <w:rFonts w:ascii="宋体" w:hAnsi="宋体" w:eastAsia="宋体" w:cs="宋体"/>
          <w:sz w:val="24"/>
          <w:szCs w:val="24"/>
        </w:rPr>
        <w:t xml:space="preserve">本反应比较快，加入 Acid Assay Buffer 和蒸馏水后应立即检测，一般 30min 内颜色 变化不大，但应保证不同批次实验用相同的检测时间。 </w:t>
      </w:r>
    </w:p>
    <w:p>
      <w:pPr>
        <w:numPr>
          <w:ilvl w:val="0"/>
          <w:numId w:val="2"/>
        </w:numPr>
        <w:ind w:left="0" w:leftChars="0" w:right="0" w:rightChars="0" w:firstLine="0" w:firstLineChars="0"/>
        <w:rPr>
          <w:rFonts w:ascii="宋体" w:hAnsi="宋体" w:eastAsia="宋体" w:cs="宋体"/>
          <w:sz w:val="24"/>
          <w:szCs w:val="24"/>
        </w:rPr>
      </w:pPr>
      <w:r>
        <w:rPr>
          <w:rFonts w:ascii="宋体" w:hAnsi="宋体" w:eastAsia="宋体" w:cs="宋体"/>
          <w:sz w:val="24"/>
          <w:szCs w:val="24"/>
        </w:rPr>
        <w:t xml:space="preserve">O-tolidine Solution 和 Acid Assay Buffer 由一定腐蚀性，请小心操作，避免直接接 触身体。 </w:t>
      </w:r>
    </w:p>
    <w:p>
      <w:pPr>
        <w:numPr>
          <w:ilvl w:val="0"/>
          <w:numId w:val="2"/>
        </w:numPr>
        <w:ind w:left="0" w:leftChars="0" w:right="0" w:rightChars="0" w:firstLine="0" w:firstLineChars="0"/>
        <w:rPr>
          <w:rFonts w:ascii="宋体" w:hAnsi="宋体" w:eastAsia="宋体" w:cs="宋体"/>
          <w:sz w:val="24"/>
          <w:szCs w:val="24"/>
        </w:rPr>
      </w:pPr>
      <w:r>
        <w:rPr>
          <w:rFonts w:ascii="宋体" w:hAnsi="宋体" w:eastAsia="宋体" w:cs="宋体"/>
          <w:sz w:val="24"/>
          <w:szCs w:val="24"/>
        </w:rPr>
        <w:t xml:space="preserve">氧化剂含有少量的过氧化氢，使用后应及时拧紧瓶盖，如果反应不变化，可考虑重新配 制本氧化剂溶液。（0.05%水溶液即可） </w:t>
      </w:r>
    </w:p>
    <w:p>
      <w:pPr>
        <w:numPr>
          <w:ilvl w:val="0"/>
          <w:numId w:val="2"/>
        </w:numPr>
        <w:ind w:left="0" w:leftChars="0" w:right="0" w:rightChars="0" w:firstLine="0" w:firstLineChars="0"/>
        <w:rPr>
          <w:rFonts w:ascii="宋体" w:hAnsi="宋体" w:eastAsia="宋体" w:cs="宋体"/>
          <w:sz w:val="24"/>
          <w:szCs w:val="24"/>
        </w:rPr>
      </w:pPr>
      <w:r>
        <w:rPr>
          <w:rFonts w:ascii="宋体" w:hAnsi="宋体" w:eastAsia="宋体" w:cs="宋体"/>
          <w:sz w:val="24"/>
          <w:szCs w:val="24"/>
        </w:rPr>
        <w:t>为了您的安全和健康，请穿实验服并戴一次性手套操作。</w:t>
      </w:r>
    </w:p>
    <w:p>
      <w:pPr>
        <w:numPr>
          <w:ilvl w:val="0"/>
          <w:numId w:val="2"/>
        </w:numPr>
        <w:ind w:left="0" w:leftChars="0" w:right="0" w:rightChars="0" w:firstLine="0" w:firstLineChars="0"/>
        <w:rPr>
          <w:rFonts w:hint="default" w:ascii="宋体" w:hAnsi="宋体" w:eastAsia="宋体" w:cs="宋体"/>
          <w:sz w:val="24"/>
          <w:szCs w:val="24"/>
          <w:lang w:val="zh-CN" w:eastAsia="zh-CN"/>
        </w:rPr>
      </w:pPr>
    </w:p>
    <w:p>
      <w:pPr>
        <w:rPr>
          <w:rFonts w:ascii="宋体" w:hAnsi="宋体" w:eastAsia="宋体" w:cs="宋体"/>
          <w:sz w:val="24"/>
          <w:szCs w:val="24"/>
        </w:rPr>
      </w:pPr>
      <w:r>
        <w:rPr>
          <w:rFonts w:hint="default" w:ascii="微软雅黑" w:hAnsi="微软雅黑" w:eastAsia="微软雅黑" w:cs="微软雅黑"/>
          <w:b/>
          <w:bCs/>
          <w:sz w:val="24"/>
          <w:szCs w:val="24"/>
          <w:lang w:val="zh-CN" w:eastAsia="zh-CN" w:bidi="zh-CN"/>
        </w:rPr>
        <w:t>有效期：</w:t>
      </w:r>
      <w:r>
        <w:rPr>
          <w:rFonts w:ascii="宋体" w:hAnsi="宋体" w:eastAsia="宋体" w:cs="宋体"/>
          <w:sz w:val="24"/>
          <w:szCs w:val="24"/>
        </w:rPr>
        <w:t>6 个月有效。</w:t>
      </w: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hint="default" w:ascii="微软雅黑" w:hAnsi="微软雅黑" w:eastAsia="微软雅黑" w:cs="微软雅黑"/>
          <w:b/>
          <w:bCs/>
          <w:sz w:val="24"/>
          <w:szCs w:val="24"/>
          <w:lang w:val="zh-CN" w:eastAsia="zh-CN" w:bidi="zh-CN"/>
        </w:rPr>
      </w:pPr>
    </w:p>
    <w:p>
      <w:pPr>
        <w:rPr>
          <w:rFonts w:hint="default" w:ascii="宋体" w:hAnsi="宋体" w:eastAsia="宋体" w:cs="宋体"/>
          <w:sz w:val="24"/>
          <w:szCs w:val="24"/>
          <w:lang w:val="zh-CN" w:eastAsia="zh-CN"/>
        </w:rPr>
      </w:pPr>
      <w:r>
        <w:rPr>
          <w:rFonts w:hint="default" w:ascii="微软雅黑" w:hAnsi="微软雅黑" w:eastAsia="微软雅黑" w:cs="微软雅黑"/>
          <w:b/>
          <w:bCs/>
          <w:sz w:val="24"/>
          <w:szCs w:val="24"/>
          <w:lang w:val="zh-CN" w:eastAsia="zh-CN" w:bidi="zh-CN"/>
        </w:rPr>
        <w:t xml:space="preserve">附录 </w:t>
      </w:r>
      <w:r>
        <w:rPr>
          <w:rFonts w:ascii="宋体" w:hAnsi="宋体" w:eastAsia="宋体" w:cs="宋体"/>
          <w:sz w:val="24"/>
          <w:szCs w:val="24"/>
        </w:rPr>
        <w:t>1：标准曲线制作：在室温条件下按说明书操作，对系列标准进行吸光度的 测定，其数值及标准曲线如下(仅供参考)：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196"/>
        <w:gridCol w:w="1170"/>
        <w:gridCol w:w="1170"/>
        <w:gridCol w:w="1170"/>
        <w:gridCol w:w="1170"/>
        <w:gridCol w:w="117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6" w:type="dxa"/>
          </w:tcPr>
          <w:p>
            <w:pPr>
              <w:rPr>
                <w:rFonts w:hint="default" w:ascii="宋体" w:hAnsi="宋体" w:eastAsia="宋体" w:cs="宋体"/>
                <w:kern w:val="0"/>
                <w:sz w:val="24"/>
                <w:szCs w:val="24"/>
                <w:vertAlign w:val="baseline"/>
                <w:lang w:val="zh-CN" w:eastAsia="zh-CN" w:bidi="zh-CN"/>
              </w:rPr>
            </w:pPr>
            <w:r>
              <w:rPr>
                <w:rFonts w:ascii="宋体" w:hAnsi="宋体" w:eastAsia="宋体" w:cs="宋体"/>
                <w:sz w:val="24"/>
                <w:szCs w:val="24"/>
              </w:rPr>
              <w:t>Hb 标准(μg/ml)</w:t>
            </w:r>
          </w:p>
        </w:tc>
        <w:tc>
          <w:tcPr>
            <w:tcW w:w="1170" w:type="dxa"/>
            <w:tcBorders/>
          </w:tcPr>
          <w:p>
            <w:pPr>
              <w:rPr>
                <w:rFonts w:hint="default" w:ascii="宋体" w:hAnsi="宋体" w:eastAsia="宋体" w:cs="宋体"/>
                <w:kern w:val="0"/>
                <w:sz w:val="24"/>
                <w:szCs w:val="24"/>
                <w:vertAlign w:val="baseline"/>
                <w:lang w:val="en-US" w:eastAsia="zh-CN" w:bidi="zh-CN"/>
              </w:rPr>
            </w:pPr>
            <w:r>
              <w:rPr>
                <w:rFonts w:hint="eastAsia" w:ascii="宋体" w:hAnsi="宋体" w:eastAsia="宋体" w:cs="宋体"/>
                <w:kern w:val="0"/>
                <w:sz w:val="24"/>
                <w:szCs w:val="24"/>
                <w:vertAlign w:val="baseline"/>
                <w:lang w:val="en-US" w:eastAsia="zh-CN" w:bidi="zh-CN"/>
              </w:rPr>
              <w:t>10</w:t>
            </w:r>
          </w:p>
        </w:tc>
        <w:tc>
          <w:tcPr>
            <w:tcW w:w="1170" w:type="dxa"/>
            <w:tcBorders/>
          </w:tcPr>
          <w:p>
            <w:pPr>
              <w:rPr>
                <w:rFonts w:hint="default" w:ascii="宋体" w:hAnsi="宋体" w:eastAsia="宋体" w:cs="宋体"/>
                <w:kern w:val="0"/>
                <w:sz w:val="24"/>
                <w:szCs w:val="24"/>
                <w:vertAlign w:val="baseline"/>
                <w:lang w:val="en-US" w:eastAsia="zh-CN" w:bidi="zh-CN"/>
              </w:rPr>
            </w:pPr>
            <w:r>
              <w:rPr>
                <w:rFonts w:hint="eastAsia" w:ascii="宋体" w:hAnsi="宋体" w:eastAsia="宋体" w:cs="宋体"/>
                <w:kern w:val="0"/>
                <w:sz w:val="24"/>
                <w:szCs w:val="24"/>
                <w:vertAlign w:val="baseline"/>
                <w:lang w:val="en-US" w:eastAsia="zh-CN" w:bidi="zh-CN"/>
              </w:rPr>
              <w:t>40</w:t>
            </w:r>
          </w:p>
        </w:tc>
        <w:tc>
          <w:tcPr>
            <w:tcW w:w="1170" w:type="dxa"/>
            <w:tcBorders/>
          </w:tcPr>
          <w:p>
            <w:pPr>
              <w:rPr>
                <w:rFonts w:hint="default" w:ascii="宋体" w:hAnsi="宋体" w:eastAsia="宋体" w:cs="宋体"/>
                <w:kern w:val="0"/>
                <w:sz w:val="24"/>
                <w:szCs w:val="24"/>
                <w:vertAlign w:val="baseline"/>
                <w:lang w:val="en-US" w:eastAsia="zh-CN" w:bidi="zh-CN"/>
              </w:rPr>
            </w:pPr>
            <w:r>
              <w:rPr>
                <w:rFonts w:hint="eastAsia" w:ascii="宋体" w:hAnsi="宋体" w:eastAsia="宋体" w:cs="宋体"/>
                <w:kern w:val="0"/>
                <w:sz w:val="24"/>
                <w:szCs w:val="24"/>
                <w:vertAlign w:val="baseline"/>
                <w:lang w:val="en-US" w:eastAsia="zh-CN" w:bidi="zh-CN"/>
              </w:rPr>
              <w:t>70</w:t>
            </w:r>
          </w:p>
        </w:tc>
        <w:tc>
          <w:tcPr>
            <w:tcW w:w="1170" w:type="dxa"/>
            <w:tcBorders/>
          </w:tcPr>
          <w:p>
            <w:pPr>
              <w:rPr>
                <w:rFonts w:hint="default" w:ascii="宋体" w:hAnsi="宋体" w:eastAsia="宋体" w:cs="宋体"/>
                <w:kern w:val="0"/>
                <w:sz w:val="24"/>
                <w:szCs w:val="24"/>
                <w:vertAlign w:val="baseline"/>
                <w:lang w:val="en-US" w:eastAsia="zh-CN" w:bidi="zh-CN"/>
              </w:rPr>
            </w:pPr>
            <w:r>
              <w:rPr>
                <w:rFonts w:hint="eastAsia" w:ascii="宋体" w:hAnsi="宋体" w:eastAsia="宋体" w:cs="宋体"/>
                <w:kern w:val="0"/>
                <w:sz w:val="24"/>
                <w:szCs w:val="24"/>
                <w:vertAlign w:val="baseline"/>
                <w:lang w:val="en-US" w:eastAsia="zh-CN" w:bidi="zh-CN"/>
              </w:rPr>
              <w:t>100</w:t>
            </w:r>
          </w:p>
        </w:tc>
        <w:tc>
          <w:tcPr>
            <w:tcW w:w="1170" w:type="dxa"/>
            <w:tcBorders/>
          </w:tcPr>
          <w:p>
            <w:pPr>
              <w:rPr>
                <w:rFonts w:hint="default" w:ascii="宋体" w:hAnsi="宋体" w:eastAsia="宋体" w:cs="宋体"/>
                <w:kern w:val="0"/>
                <w:sz w:val="24"/>
                <w:szCs w:val="24"/>
                <w:vertAlign w:val="baseline"/>
                <w:lang w:val="en-US" w:eastAsia="zh-CN" w:bidi="zh-CN"/>
              </w:rPr>
            </w:pPr>
            <w:r>
              <w:rPr>
                <w:rFonts w:hint="eastAsia" w:ascii="宋体" w:hAnsi="宋体" w:eastAsia="宋体" w:cs="宋体"/>
                <w:kern w:val="0"/>
                <w:sz w:val="24"/>
                <w:szCs w:val="24"/>
                <w:vertAlign w:val="baseline"/>
                <w:lang w:val="en-US" w:eastAsia="zh-CN" w:bidi="zh-CN"/>
              </w:rPr>
              <w:t>200</w:t>
            </w:r>
          </w:p>
        </w:tc>
        <w:tc>
          <w:tcPr>
            <w:tcW w:w="1170" w:type="dxa"/>
            <w:tcBorders/>
          </w:tcPr>
          <w:p>
            <w:pPr>
              <w:rPr>
                <w:rFonts w:hint="default" w:ascii="宋体" w:hAnsi="宋体" w:eastAsia="宋体" w:cs="宋体"/>
                <w:kern w:val="0"/>
                <w:sz w:val="24"/>
                <w:szCs w:val="24"/>
                <w:vertAlign w:val="baseline"/>
                <w:lang w:val="en-US" w:eastAsia="zh-CN" w:bidi="zh-CN"/>
              </w:rPr>
            </w:pPr>
            <w:r>
              <w:rPr>
                <w:rFonts w:hint="eastAsia" w:ascii="宋体" w:hAnsi="宋体" w:eastAsia="宋体" w:cs="宋体"/>
                <w:kern w:val="0"/>
                <w:sz w:val="24"/>
                <w:szCs w:val="24"/>
                <w:vertAlign w:val="baseline"/>
                <w:lang w:val="en-US" w:eastAsia="zh-CN" w:bidi="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6" w:type="dxa"/>
          </w:tcPr>
          <w:p>
            <w:pPr>
              <w:rPr>
                <w:rFonts w:hint="default" w:ascii="宋体" w:hAnsi="宋体" w:eastAsia="宋体" w:cs="宋体"/>
                <w:kern w:val="0"/>
                <w:sz w:val="24"/>
                <w:szCs w:val="24"/>
                <w:vertAlign w:val="baseline"/>
                <w:lang w:val="zh-CN" w:eastAsia="zh-CN" w:bidi="zh-CN"/>
              </w:rPr>
            </w:pPr>
            <w:r>
              <w:rPr>
                <w:rFonts w:ascii="宋体" w:hAnsi="宋体" w:eastAsia="宋体" w:cs="宋体"/>
                <w:sz w:val="24"/>
                <w:szCs w:val="24"/>
              </w:rPr>
              <w:t>吸光度</w:t>
            </w:r>
          </w:p>
        </w:tc>
        <w:tc>
          <w:tcPr>
            <w:tcW w:w="1170" w:type="dxa"/>
            <w:tcBorders/>
          </w:tcPr>
          <w:p>
            <w:pPr>
              <w:rPr>
                <w:rFonts w:hint="default" w:ascii="宋体" w:hAnsi="宋体" w:eastAsia="宋体" w:cs="宋体"/>
                <w:kern w:val="0"/>
                <w:sz w:val="24"/>
                <w:szCs w:val="24"/>
                <w:vertAlign w:val="baseline"/>
                <w:lang w:val="zh-CN" w:eastAsia="zh-CN" w:bidi="zh-CN"/>
              </w:rPr>
            </w:pPr>
            <w:r>
              <w:rPr>
                <w:rFonts w:ascii="宋体" w:hAnsi="宋体" w:eastAsia="宋体" w:cs="宋体"/>
                <w:sz w:val="24"/>
                <w:szCs w:val="24"/>
              </w:rPr>
              <w:t>0.02</w:t>
            </w:r>
          </w:p>
        </w:tc>
        <w:tc>
          <w:tcPr>
            <w:tcW w:w="1170" w:type="dxa"/>
            <w:tcBorders/>
          </w:tcPr>
          <w:p>
            <w:pPr>
              <w:rPr>
                <w:rFonts w:hint="default" w:ascii="宋体" w:hAnsi="宋体" w:eastAsia="宋体" w:cs="宋体"/>
                <w:kern w:val="0"/>
                <w:sz w:val="24"/>
                <w:szCs w:val="24"/>
                <w:vertAlign w:val="baseline"/>
                <w:lang w:val="zh-CN" w:eastAsia="zh-CN" w:bidi="zh-CN"/>
              </w:rPr>
            </w:pPr>
            <w:r>
              <w:rPr>
                <w:rFonts w:ascii="宋体" w:hAnsi="宋体" w:eastAsia="宋体" w:cs="宋体"/>
                <w:sz w:val="24"/>
                <w:szCs w:val="24"/>
              </w:rPr>
              <w:t>0.13</w:t>
            </w:r>
          </w:p>
        </w:tc>
        <w:tc>
          <w:tcPr>
            <w:tcW w:w="1170" w:type="dxa"/>
            <w:tcBorders/>
          </w:tcPr>
          <w:p>
            <w:pPr>
              <w:rPr>
                <w:rFonts w:hint="default" w:ascii="宋体" w:hAnsi="宋体" w:eastAsia="宋体" w:cs="宋体"/>
                <w:kern w:val="0"/>
                <w:sz w:val="24"/>
                <w:szCs w:val="24"/>
                <w:vertAlign w:val="baseline"/>
                <w:lang w:val="zh-CN" w:eastAsia="zh-CN" w:bidi="zh-CN"/>
              </w:rPr>
            </w:pPr>
            <w:r>
              <w:rPr>
                <w:rFonts w:ascii="宋体" w:hAnsi="宋体" w:eastAsia="宋体" w:cs="宋体"/>
                <w:sz w:val="24"/>
                <w:szCs w:val="24"/>
              </w:rPr>
              <w:t>0.254</w:t>
            </w:r>
          </w:p>
        </w:tc>
        <w:tc>
          <w:tcPr>
            <w:tcW w:w="1170" w:type="dxa"/>
            <w:tcBorders/>
          </w:tcPr>
          <w:p>
            <w:pPr>
              <w:rPr>
                <w:rFonts w:hint="default" w:ascii="宋体" w:hAnsi="宋体" w:eastAsia="宋体" w:cs="宋体"/>
                <w:kern w:val="0"/>
                <w:sz w:val="24"/>
                <w:szCs w:val="24"/>
                <w:vertAlign w:val="baseline"/>
                <w:lang w:val="zh-CN" w:eastAsia="zh-CN" w:bidi="zh-CN"/>
              </w:rPr>
            </w:pPr>
            <w:r>
              <w:rPr>
                <w:rFonts w:ascii="宋体" w:hAnsi="宋体" w:eastAsia="宋体" w:cs="宋体"/>
                <w:sz w:val="24"/>
                <w:szCs w:val="24"/>
              </w:rPr>
              <w:t>0.587</w:t>
            </w:r>
          </w:p>
        </w:tc>
        <w:tc>
          <w:tcPr>
            <w:tcW w:w="1170" w:type="dxa"/>
            <w:tcBorders/>
          </w:tcPr>
          <w:p>
            <w:pPr>
              <w:rPr>
                <w:rFonts w:hint="default" w:ascii="宋体" w:hAnsi="宋体" w:eastAsia="宋体" w:cs="宋体"/>
                <w:kern w:val="0"/>
                <w:sz w:val="24"/>
                <w:szCs w:val="24"/>
                <w:vertAlign w:val="baseline"/>
                <w:lang w:val="zh-CN" w:eastAsia="zh-CN" w:bidi="zh-CN"/>
              </w:rPr>
            </w:pPr>
            <w:r>
              <w:rPr>
                <w:rFonts w:ascii="宋体" w:hAnsi="宋体" w:eastAsia="宋体" w:cs="宋体"/>
                <w:sz w:val="24"/>
                <w:szCs w:val="24"/>
              </w:rPr>
              <w:t>1.021</w:t>
            </w:r>
          </w:p>
        </w:tc>
        <w:tc>
          <w:tcPr>
            <w:tcW w:w="1170" w:type="dxa"/>
            <w:tcBorders/>
          </w:tcPr>
          <w:p>
            <w:pPr>
              <w:rPr>
                <w:rFonts w:hint="default" w:ascii="宋体" w:hAnsi="宋体" w:eastAsia="宋体" w:cs="宋体"/>
                <w:kern w:val="0"/>
                <w:sz w:val="24"/>
                <w:szCs w:val="24"/>
                <w:vertAlign w:val="baseline"/>
                <w:lang w:val="zh-CN" w:eastAsia="zh-CN" w:bidi="zh-CN"/>
              </w:rPr>
            </w:pPr>
            <w:r>
              <w:rPr>
                <w:rFonts w:ascii="宋体" w:hAnsi="宋体" w:eastAsia="宋体" w:cs="宋体"/>
                <w:sz w:val="24"/>
                <w:szCs w:val="24"/>
              </w:rPr>
              <w:t>1.445</w:t>
            </w:r>
          </w:p>
        </w:tc>
      </w:tr>
    </w:tbl>
    <w:p>
      <w:pPr>
        <w:rPr>
          <w:rFonts w:hint="default" w:ascii="宋体" w:hAnsi="宋体" w:eastAsia="宋体" w:cs="宋体"/>
          <w:kern w:val="0"/>
          <w:sz w:val="24"/>
          <w:szCs w:val="24"/>
          <w:lang w:val="zh-CN" w:eastAsia="zh-CN" w:bidi="zh-CN"/>
        </w:rPr>
      </w:pPr>
    </w:p>
    <w:p>
      <w:pPr>
        <w:widowControl w:val="0"/>
        <w:numPr>
          <w:ilvl w:val="0"/>
          <w:numId w:val="0"/>
        </w:numPr>
        <w:autoSpaceDE w:val="0"/>
        <w:autoSpaceDN w:val="0"/>
        <w:spacing w:before="0" w:after="0" w:line="240" w:lineRule="auto"/>
        <w:ind w:right="0" w:rightChars="0"/>
        <w:jc w:val="both"/>
        <w:rPr>
          <w:rFonts w:hint="eastAsia" w:ascii="宋体" w:hAnsi="宋体" w:eastAsia="宋体" w:cs="宋体"/>
          <w:sz w:val="24"/>
          <w:szCs w:val="24"/>
          <w:lang w:val="en-US" w:eastAsia="zh-CN" w:bidi="zh-CN"/>
        </w:rPr>
      </w:pPr>
      <w:r>
        <w:drawing>
          <wp:inline distT="0" distB="0" distL="114300" distR="114300">
            <wp:extent cx="4486275" cy="2724150"/>
            <wp:effectExtent l="0" t="0" r="9525"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4486275" cy="2724150"/>
                    </a:xfrm>
                    <a:prstGeom prst="rect">
                      <a:avLst/>
                    </a:prstGeom>
                    <a:noFill/>
                    <a:ln>
                      <a:noFill/>
                    </a:ln>
                  </pic:spPr>
                </pic:pic>
              </a:graphicData>
            </a:graphic>
          </wp:inline>
        </w:drawing>
      </w:r>
    </w:p>
    <w:sectPr>
      <w:headerReference r:id="rId5" w:type="default"/>
      <w:pgSz w:w="11900" w:h="16820"/>
      <w:pgMar w:top="1600" w:right="1220" w:bottom="280" w:left="1680" w:header="720" w:footer="72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MS UI Gothic">
    <w:panose1 w:val="020B0600070205080204"/>
    <w:charset w:val="80"/>
    <w:family w:val="swiss"/>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inline distT="0" distB="0" distL="114300" distR="114300">
          <wp:extent cx="1750695" cy="717550"/>
          <wp:effectExtent l="0" t="0" r="1905" b="6350"/>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1"/>
                  <a:stretch>
                    <a:fillRect/>
                  </a:stretch>
                </pic:blipFill>
                <pic:spPr>
                  <a:xfrm>
                    <a:off x="0" y="0"/>
                    <a:ext cx="1750695" cy="717550"/>
                  </a:xfrm>
                  <a:prstGeom prst="rect">
                    <a:avLst/>
                  </a:prstGeom>
                  <a:noFill/>
                  <a:ln>
                    <a:noFill/>
                  </a:ln>
                </pic:spPr>
              </pic:pic>
            </a:graphicData>
          </a:graphic>
        </wp:inline>
      </w:drawing>
    </w:r>
    <w:r>
      <w:rPr>
        <w:sz w:val="32"/>
      </w:rPr>
      <mc:AlternateContent>
        <mc:Choice Requires="wps">
          <w:drawing>
            <wp:anchor distT="0" distB="0" distL="114300" distR="114300" simplePos="0" relativeHeight="251661312" behindDoc="0" locked="0" layoutInCell="1" allowOverlap="1">
              <wp:simplePos x="0" y="0"/>
              <wp:positionH relativeFrom="column">
                <wp:posOffset>3501390</wp:posOffset>
              </wp:positionH>
              <wp:positionV relativeFrom="paragraph">
                <wp:posOffset>2540</wp:posOffset>
              </wp:positionV>
              <wp:extent cx="1929765" cy="888365"/>
              <wp:effectExtent l="4445" t="4445" r="8890" b="21590"/>
              <wp:wrapNone/>
              <wp:docPr id="4" name="文本框 4"/>
              <wp:cNvGraphicFramePr/>
              <a:graphic xmlns:a="http://schemas.openxmlformats.org/drawingml/2006/main">
                <a:graphicData uri="http://schemas.microsoft.com/office/word/2010/wordprocessingShape">
                  <wps:wsp>
                    <wps:cNvSpPr txBox="1"/>
                    <wps:spPr>
                      <a:xfrm>
                        <a:off x="4568190" y="472440"/>
                        <a:ext cx="1929765" cy="888365"/>
                      </a:xfrm>
                      <a:prstGeom prst="rect">
                        <a:avLst/>
                      </a:prstGeom>
                      <a:solidFill>
                        <a:srgbClr val="FFFFFF"/>
                      </a:solidFill>
                      <a:ln w="6350">
                        <a:solidFill>
                          <a:srgbClr val="FFFFFF"/>
                        </a:solidFill>
                      </a:ln>
                      <a:effectLst/>
                    </wps:spPr>
                    <wps:txbx>
                      <w:txbxContent>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12"/>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 xml:space="preserve">邮箱:lianshuo@vip.126.com </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5.7pt;margin-top:0.2pt;height:69.95pt;width:151.95pt;z-index:251661312;mso-width-relative:page;mso-height-relative:page;" fillcolor="#FFFFFF" filled="t" stroked="t" coordsize="21600,21600" o:gfxdata="UEsDBAoAAAAAAIdO4kAAAAAAAAAAAAAAAAAEAAAAZHJzL1BLAwQUAAAACACHTuJAvyiChdcAAAAI&#10;AQAADwAAAGRycy9kb3ducmV2LnhtbE2PTU/DMAyG70j8h8iTuLG0bEFVaboDEjeE1PF5zBqvrdY4&#10;XZO2499jTnCxZL2PXj8udhfXixnH0HnSkK4TEEi1tx01Gt5en24zECEasqb3hBq+McCuvL4qTG79&#10;QhXO+9gILqGQGw1tjEMuZahbdCas/YDE2dGPzkRex0ba0Sxc7np5lyT30pmO+EJrBnxssT7tJ6fh&#10;ZZ78e/Oh6k/6WqqQHc/Vc3bW+maVJg8gIl7iHwy/+qwOJTsd/EQ2iF6DUumWUQ08Oc6U2oA4MLdN&#10;NiDLQv5/oPwBUEsDBBQAAAAIAIdO4kC537IRYgIAANEEAAAOAAAAZHJzL2Uyb0RvYy54bWytVMFu&#10;GjEQvVfqP1i+NwsECKAsEU1EVQk1kdKqZ+P1spZsj2sbdukHtH/QUy+997v4jo69S0LSHnIoh2XG&#10;M/tm5vnNXl41WpGdcF6CyWn/rEeJMBwKaTY5/fRx+WZCiQ/MFEyBETndC0+v5q9fXdZ2JgZQgSqE&#10;Iwhi/Ky2Oa1CsLMs87wSmvkzsMJgsASnWUDXbbLCsRrRtcoGvd44q8EV1gEX3uPpTRukHaJ7CSCU&#10;peTiBvhWCxNaVCcUCziSr6T1dJ66LUvBw21ZehGIyilOGtITi6C9js9sfslmG8dsJXnXAntJC89m&#10;0kwaLPoAdcMCI1sn/4LSkjvwUIYzDjprB0mM4BT93jNu7itmRZoFqfb2gXT//2D5h92dI7LI6ZAS&#10;wzRe+OHH98PP34df38gw0lNbP8Ose4t5oXkLDYrmeO7xME7dlE7Hf5yHYHw4Gk/6U6R4j/bFYDjs&#10;eBZNIDy+Px1ML8YjSjgmTCaTc7SxUvYIZJ0P7wRoEo2cOrzHRC/brXxoU48psa4HJYulVCo5brO+&#10;Vo7sGN75Mv069CdpypA6p+PzUS8hP4n5l0Bgu8rEgiLprGss0tXSEq3QrJuOwzUUe6TQQatBb/lS&#10;4nAr5sMdcyg65AvXMtzio1SAvUFnUVKB+/qv85iPWsAoJTWKOKf+y5Y5QYl6b1Al037knoTkDEcX&#10;A3TcaWR9GjFbfQ3IWR8/AJYnM+YHdTRLB/ozbu8iVsUQMxxr5zQczevQrhZuPxeLRUpCnVsWVube&#10;8ggdCTOw2AYoZbrJSFPLDSogOqj0pIVuK+Mqnfop6/FLNP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vyiChdcAAAAIAQAADwAAAAAAAAABACAAAAAiAAAAZHJzL2Rvd25yZXYueG1sUEsBAhQAFAAA&#10;AAgAh07iQLnfshFiAgAA0QQAAA4AAAAAAAAAAQAgAAAAJgEAAGRycy9lMm9Eb2MueG1sUEsFBgAA&#10;AAAGAAYAWQEAAPoFAAAAAA==&#10;">
              <v:fill on="t" focussize="0,0"/>
              <v:stroke weight="0.5pt" color="#FFFFFF" joinstyle="round"/>
              <v:imagedata o:title=""/>
              <o:lock v:ext="edit" aspectratio="f"/>
              <v:textbox>
                <w:txbxContent>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12"/>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 xml:space="preserve">邮箱:lianshuo@vip.126.com </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12165"/>
    <w:multiLevelType w:val="singleLevel"/>
    <w:tmpl w:val="02F12165"/>
    <w:lvl w:ilvl="0" w:tentative="0">
      <w:start w:val="1"/>
      <w:numFmt w:val="decimal"/>
      <w:suff w:val="space"/>
      <w:lvlText w:val="%1、"/>
      <w:lvlJc w:val="left"/>
    </w:lvl>
  </w:abstractNum>
  <w:abstractNum w:abstractNumId="1">
    <w:nsid w:val="324A83AB"/>
    <w:multiLevelType w:val="singleLevel"/>
    <w:tmpl w:val="324A83AB"/>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464CC"/>
    <w:rsid w:val="00DF6358"/>
    <w:rsid w:val="01145508"/>
    <w:rsid w:val="02656349"/>
    <w:rsid w:val="03A55FB4"/>
    <w:rsid w:val="04E82583"/>
    <w:rsid w:val="05061FA2"/>
    <w:rsid w:val="06747324"/>
    <w:rsid w:val="074046F5"/>
    <w:rsid w:val="08052BF3"/>
    <w:rsid w:val="08314152"/>
    <w:rsid w:val="08E22FF9"/>
    <w:rsid w:val="09771772"/>
    <w:rsid w:val="0A160B13"/>
    <w:rsid w:val="0CD03759"/>
    <w:rsid w:val="0E05003A"/>
    <w:rsid w:val="0EF37BC9"/>
    <w:rsid w:val="10123F64"/>
    <w:rsid w:val="10B937BA"/>
    <w:rsid w:val="1257478E"/>
    <w:rsid w:val="12DE4B5D"/>
    <w:rsid w:val="133270C2"/>
    <w:rsid w:val="13747265"/>
    <w:rsid w:val="138C3DB5"/>
    <w:rsid w:val="15094E42"/>
    <w:rsid w:val="165B52BC"/>
    <w:rsid w:val="17BE39E4"/>
    <w:rsid w:val="17C72D48"/>
    <w:rsid w:val="18E60643"/>
    <w:rsid w:val="18F21F10"/>
    <w:rsid w:val="190405BB"/>
    <w:rsid w:val="19D9085E"/>
    <w:rsid w:val="1A111D38"/>
    <w:rsid w:val="1C4A5DCF"/>
    <w:rsid w:val="1C6F5233"/>
    <w:rsid w:val="1DE47B23"/>
    <w:rsid w:val="1ECA2316"/>
    <w:rsid w:val="1ED51427"/>
    <w:rsid w:val="1F564DF1"/>
    <w:rsid w:val="1FAF7714"/>
    <w:rsid w:val="205036F4"/>
    <w:rsid w:val="206B29DA"/>
    <w:rsid w:val="232A2082"/>
    <w:rsid w:val="23FF188A"/>
    <w:rsid w:val="249C62BB"/>
    <w:rsid w:val="25931122"/>
    <w:rsid w:val="26217550"/>
    <w:rsid w:val="266A0469"/>
    <w:rsid w:val="267B6097"/>
    <w:rsid w:val="27B0263A"/>
    <w:rsid w:val="27E1458F"/>
    <w:rsid w:val="28123968"/>
    <w:rsid w:val="286B3B4E"/>
    <w:rsid w:val="28FE1800"/>
    <w:rsid w:val="29126F5D"/>
    <w:rsid w:val="29BE142B"/>
    <w:rsid w:val="2A5B29F9"/>
    <w:rsid w:val="2B0A5988"/>
    <w:rsid w:val="2C2A7B7D"/>
    <w:rsid w:val="2C500100"/>
    <w:rsid w:val="2CF4146D"/>
    <w:rsid w:val="2D9468A8"/>
    <w:rsid w:val="2E4C2474"/>
    <w:rsid w:val="2ECF3CC2"/>
    <w:rsid w:val="2FBE291B"/>
    <w:rsid w:val="2FCB1D0D"/>
    <w:rsid w:val="3098481A"/>
    <w:rsid w:val="324159A6"/>
    <w:rsid w:val="32697AD0"/>
    <w:rsid w:val="327B2B2B"/>
    <w:rsid w:val="342A141B"/>
    <w:rsid w:val="35294AEA"/>
    <w:rsid w:val="35315692"/>
    <w:rsid w:val="37007ADE"/>
    <w:rsid w:val="37CB7FC8"/>
    <w:rsid w:val="383D440E"/>
    <w:rsid w:val="389E0F96"/>
    <w:rsid w:val="393E678C"/>
    <w:rsid w:val="3ADC0370"/>
    <w:rsid w:val="3DAC52A6"/>
    <w:rsid w:val="3DD94FB0"/>
    <w:rsid w:val="3DE12D46"/>
    <w:rsid w:val="3F1578F8"/>
    <w:rsid w:val="41E11C5E"/>
    <w:rsid w:val="420D54F7"/>
    <w:rsid w:val="42672385"/>
    <w:rsid w:val="42843918"/>
    <w:rsid w:val="436A76C0"/>
    <w:rsid w:val="436C7D7E"/>
    <w:rsid w:val="462A5F92"/>
    <w:rsid w:val="467B01DC"/>
    <w:rsid w:val="47EA0923"/>
    <w:rsid w:val="48DF7540"/>
    <w:rsid w:val="49265300"/>
    <w:rsid w:val="4B1D1D88"/>
    <w:rsid w:val="4DB23AB5"/>
    <w:rsid w:val="4F6010CA"/>
    <w:rsid w:val="501C2232"/>
    <w:rsid w:val="517B11FD"/>
    <w:rsid w:val="52214A11"/>
    <w:rsid w:val="522B07B3"/>
    <w:rsid w:val="524C4A25"/>
    <w:rsid w:val="52C40D0F"/>
    <w:rsid w:val="54901765"/>
    <w:rsid w:val="554137E0"/>
    <w:rsid w:val="56737FC6"/>
    <w:rsid w:val="572E2FBD"/>
    <w:rsid w:val="580B5B14"/>
    <w:rsid w:val="58E43842"/>
    <w:rsid w:val="5A903BC9"/>
    <w:rsid w:val="5AC853F2"/>
    <w:rsid w:val="5B5F4D7C"/>
    <w:rsid w:val="5B7D366F"/>
    <w:rsid w:val="5B7E17AA"/>
    <w:rsid w:val="5C2B58D2"/>
    <w:rsid w:val="5CC90C33"/>
    <w:rsid w:val="5D35021E"/>
    <w:rsid w:val="5DEC0ED8"/>
    <w:rsid w:val="5E4E7FA2"/>
    <w:rsid w:val="5F0500D7"/>
    <w:rsid w:val="5FE10FB9"/>
    <w:rsid w:val="60340CB9"/>
    <w:rsid w:val="60B92B56"/>
    <w:rsid w:val="6205612E"/>
    <w:rsid w:val="623678D5"/>
    <w:rsid w:val="623A6919"/>
    <w:rsid w:val="628B1E38"/>
    <w:rsid w:val="629C1EE8"/>
    <w:rsid w:val="62F767F2"/>
    <w:rsid w:val="62FB7F17"/>
    <w:rsid w:val="63FC59EE"/>
    <w:rsid w:val="665A5EB8"/>
    <w:rsid w:val="66963D6C"/>
    <w:rsid w:val="677204B2"/>
    <w:rsid w:val="69F64E52"/>
    <w:rsid w:val="69FB5894"/>
    <w:rsid w:val="6A58658A"/>
    <w:rsid w:val="6BD40F38"/>
    <w:rsid w:val="6C1023C7"/>
    <w:rsid w:val="6D6B48A6"/>
    <w:rsid w:val="6D8E5CCF"/>
    <w:rsid w:val="6EB206AF"/>
    <w:rsid w:val="6FD47DB9"/>
    <w:rsid w:val="712035B3"/>
    <w:rsid w:val="71885F24"/>
    <w:rsid w:val="72346306"/>
    <w:rsid w:val="726E2937"/>
    <w:rsid w:val="73FA1A9B"/>
    <w:rsid w:val="740F19E1"/>
    <w:rsid w:val="75106537"/>
    <w:rsid w:val="75A16D6B"/>
    <w:rsid w:val="77BD2530"/>
    <w:rsid w:val="78ED7825"/>
    <w:rsid w:val="79E44FEE"/>
    <w:rsid w:val="7BD1728A"/>
    <w:rsid w:val="7CDE1C6F"/>
    <w:rsid w:val="7E1079ED"/>
    <w:rsid w:val="7E3B707B"/>
    <w:rsid w:val="7E5E5BDA"/>
    <w:rsid w:val="7EF43C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MS Mincho" w:hAnsi="MS Mincho" w:eastAsia="MS Mincho" w:cs="MS Mincho"/>
      <w:sz w:val="22"/>
      <w:szCs w:val="22"/>
      <w:lang w:val="zh-CN" w:eastAsia="zh-CN" w:bidi="zh-CN"/>
    </w:rPr>
  </w:style>
  <w:style w:type="paragraph" w:styleId="2">
    <w:name w:val="heading 1"/>
    <w:basedOn w:val="1"/>
    <w:next w:val="1"/>
    <w:qFormat/>
    <w:uiPriority w:val="1"/>
    <w:pPr>
      <w:ind w:left="403"/>
      <w:outlineLvl w:val="1"/>
    </w:pPr>
    <w:rPr>
      <w:rFonts w:ascii="MS Mincho" w:hAnsi="MS Mincho" w:eastAsia="MS Mincho" w:cs="MS Mincho"/>
      <w:b/>
      <w:bCs/>
      <w:sz w:val="24"/>
      <w:szCs w:val="24"/>
      <w:lang w:val="zh-CN" w:eastAsia="zh-CN" w:bidi="zh-CN"/>
    </w:rPr>
  </w:style>
  <w:style w:type="paragraph" w:styleId="3">
    <w:name w:val="heading 2"/>
    <w:basedOn w:val="1"/>
    <w:next w:val="1"/>
    <w:qFormat/>
    <w:uiPriority w:val="1"/>
    <w:pPr>
      <w:ind w:left="440"/>
      <w:outlineLvl w:val="2"/>
    </w:pPr>
    <w:rPr>
      <w:rFonts w:ascii="微软雅黑" w:hAnsi="微软雅黑" w:eastAsia="微软雅黑" w:cs="微软雅黑"/>
      <w:b/>
      <w:bCs/>
      <w:sz w:val="21"/>
      <w:szCs w:val="21"/>
      <w:lang w:val="en-US" w:eastAsia="en-US" w:bidi="en-US"/>
    </w:rPr>
  </w:style>
  <w:style w:type="character" w:default="1" w:styleId="10">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MS Mincho" w:hAnsi="MS Mincho" w:eastAsia="MS Mincho" w:cs="MS Mincho"/>
      <w:sz w:val="21"/>
      <w:szCs w:val="21"/>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rPr>
      <w:lang w:val="zh-CN" w:eastAsia="zh-CN" w:bidi="zh-CN"/>
    </w:rPr>
  </w:style>
  <w:style w:type="paragraph" w:customStyle="1" w:styleId="15">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2019-01-16T08:54:00Z</dcterms:created>
  <dc:creator>Administrator</dc:creator>
  <cp:lastModifiedBy>联硕生物郭雪</cp:lastModifiedBy>
  <dcterms:modified xsi:type="dcterms:W3CDTF">2021-04-23T06:28:33Z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2017-02-18T00:00:00Z</vt:filetime>
  </property>
  <property fmtid="{D5CDD505-2E9C-101B-9397-08002B2CF9AE}" pid="3" name="Creator">
    <vt:lpwstr>Aspose Ltd.</vt:lpwstr>
  </property>
  <property fmtid="{D5CDD505-2E9C-101B-9397-08002B2CF9AE}" pid="4" name="LastSaved">
    <vt:filetime>2019-01-16T00:00:00Z</vt:filetime>
  </property>
  <property fmtid="{D5CDD505-2E9C-101B-9397-08002B2CF9AE}" pid="5" name="KSOProductBuildVer">
    <vt:lpwstr>2052-11.1.0.10356</vt:lpwstr>
  </property>
  <property fmtid="{D5CDD505-2E9C-101B-9397-08002B2CF9AE}" pid="6" name="ICV">
    <vt:lpwstr>ED957D65F1D64465B0B9B49DDA9809B0</vt:lpwstr>
  </property>
</Properties>
</file>